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46EE6" w14:textId="77777777" w:rsidR="00467516" w:rsidRPr="00F955EE" w:rsidRDefault="00467516" w:rsidP="00E06F63">
      <w:pPr>
        <w:rPr>
          <w:rFonts w:eastAsia="Calibri"/>
          <w:lang w:val="es-ES"/>
        </w:rPr>
      </w:pPr>
      <w:bookmarkStart w:id="0" w:name="_GoBack"/>
      <w:bookmarkEnd w:id="0"/>
    </w:p>
    <w:p w14:paraId="1EB66D4B" w14:textId="77777777" w:rsidR="00616A72" w:rsidRPr="00F955EE" w:rsidRDefault="00616A72" w:rsidP="00616A72">
      <w:pPr>
        <w:jc w:val="center"/>
        <w:rPr>
          <w:rFonts w:eastAsia="Calibri" w:cs="Calibri"/>
          <w:b/>
          <w:lang w:val="es-ES"/>
        </w:rPr>
      </w:pPr>
      <w:bookmarkStart w:id="1" w:name="_Toc495658661"/>
      <w:bookmarkStart w:id="2" w:name="_Toc498013630"/>
      <w:bookmarkStart w:id="3" w:name="_Toc514172615"/>
      <w:bookmarkStart w:id="4" w:name="_Toc24447077"/>
      <w:r w:rsidRPr="00F955EE">
        <w:rPr>
          <w:rFonts w:eastAsia="Calibri" w:cs="Calibri"/>
          <w:b/>
          <w:lang w:val="es-ES"/>
        </w:rPr>
        <w:t>CASO ROCHE AZAÑA Y OTROS</w:t>
      </w:r>
      <w:r w:rsidRPr="00F955EE">
        <w:rPr>
          <w:rFonts w:eastAsia="Calibri" w:cs="Calibri"/>
          <w:b/>
          <w:i/>
          <w:lang w:val="es-ES"/>
        </w:rPr>
        <w:t xml:space="preserve"> VS</w:t>
      </w:r>
      <w:r w:rsidRPr="00F955EE">
        <w:rPr>
          <w:rFonts w:eastAsia="Calibri" w:cs="Calibri"/>
          <w:b/>
          <w:lang w:val="es-ES"/>
        </w:rPr>
        <w:t>. NICARAGUA</w:t>
      </w:r>
    </w:p>
    <w:p w14:paraId="578BA3A5" w14:textId="77777777" w:rsidR="00616A72" w:rsidRPr="00F955EE" w:rsidRDefault="00616A72" w:rsidP="00616A72">
      <w:pPr>
        <w:tabs>
          <w:tab w:val="left" w:pos="720"/>
        </w:tabs>
        <w:jc w:val="center"/>
        <w:rPr>
          <w:rFonts w:eastAsia="Calibri" w:cs="Verdana"/>
          <w:b/>
          <w:bCs/>
          <w:caps/>
          <w:snapToGrid w:val="0"/>
          <w:lang w:val="es-ES" w:eastAsia="es-ES"/>
        </w:rPr>
      </w:pPr>
    </w:p>
    <w:p w14:paraId="2311E322" w14:textId="0ED1D723" w:rsidR="00616A72" w:rsidRPr="00F955EE" w:rsidRDefault="00616A72" w:rsidP="00616A72">
      <w:pPr>
        <w:tabs>
          <w:tab w:val="left" w:pos="720"/>
        </w:tabs>
        <w:jc w:val="center"/>
        <w:rPr>
          <w:rFonts w:eastAsia="Calibri" w:cs="Verdana"/>
          <w:b/>
          <w:bCs/>
          <w:snapToGrid w:val="0"/>
          <w:lang w:val="es-ES" w:eastAsia="es-ES"/>
        </w:rPr>
      </w:pPr>
      <w:r w:rsidRPr="00F955EE">
        <w:rPr>
          <w:rFonts w:eastAsia="Calibri" w:cs="Verdana"/>
          <w:b/>
          <w:bCs/>
          <w:snapToGrid w:val="0"/>
          <w:lang w:val="es-ES" w:eastAsia="es-ES"/>
        </w:rPr>
        <w:t xml:space="preserve">SENTENCIA DE </w:t>
      </w:r>
      <w:r w:rsidR="00EE1EB0">
        <w:rPr>
          <w:rFonts w:eastAsia="Calibri" w:cs="Verdana"/>
          <w:b/>
          <w:bCs/>
          <w:snapToGrid w:val="0"/>
          <w:lang w:val="es-ES" w:eastAsia="es-ES"/>
        </w:rPr>
        <w:t>3</w:t>
      </w:r>
      <w:r w:rsidRPr="00F955EE">
        <w:rPr>
          <w:rFonts w:eastAsia="Calibri" w:cs="Verdana"/>
          <w:b/>
          <w:bCs/>
          <w:snapToGrid w:val="0"/>
          <w:lang w:val="es-ES" w:eastAsia="es-ES"/>
        </w:rPr>
        <w:t xml:space="preserve"> DE </w:t>
      </w:r>
      <w:r w:rsidR="00EE1EB0">
        <w:rPr>
          <w:rFonts w:eastAsia="Calibri" w:cs="Verdana"/>
          <w:b/>
          <w:bCs/>
          <w:snapToGrid w:val="0"/>
          <w:lang w:val="es-ES" w:eastAsia="es-ES"/>
        </w:rPr>
        <w:t>JUNIO</w:t>
      </w:r>
      <w:r w:rsidRPr="00F955EE">
        <w:rPr>
          <w:rFonts w:eastAsia="Calibri" w:cs="Verdana"/>
          <w:b/>
          <w:bCs/>
          <w:snapToGrid w:val="0"/>
          <w:lang w:val="es-ES" w:eastAsia="es-ES"/>
        </w:rPr>
        <w:t xml:space="preserve"> DE 2020</w:t>
      </w:r>
    </w:p>
    <w:p w14:paraId="0043624D" w14:textId="77777777" w:rsidR="00616A72" w:rsidRPr="00F955EE" w:rsidRDefault="00616A72" w:rsidP="00616A72">
      <w:pPr>
        <w:tabs>
          <w:tab w:val="left" w:pos="720"/>
        </w:tabs>
        <w:jc w:val="center"/>
        <w:rPr>
          <w:rFonts w:eastAsia="Calibri" w:cs="Verdana"/>
          <w:b/>
          <w:bCs/>
          <w:caps/>
          <w:snapToGrid w:val="0"/>
          <w:lang w:val="es-ES" w:eastAsia="es-ES"/>
        </w:rPr>
      </w:pPr>
    </w:p>
    <w:p w14:paraId="341EDA5F" w14:textId="238D8F8C" w:rsidR="00616A72" w:rsidRDefault="00616A72" w:rsidP="00616A72">
      <w:pPr>
        <w:tabs>
          <w:tab w:val="left" w:pos="720"/>
        </w:tabs>
        <w:jc w:val="center"/>
        <w:rPr>
          <w:rFonts w:eastAsia="Calibri" w:cs="Verdana"/>
          <w:b/>
          <w:bCs/>
          <w:i/>
          <w:iCs/>
          <w:snapToGrid w:val="0"/>
          <w:lang w:val="es-ES" w:eastAsia="es-ES"/>
        </w:rPr>
      </w:pPr>
      <w:r w:rsidRPr="00F955EE">
        <w:rPr>
          <w:rFonts w:eastAsia="Calibri" w:cs="Verdana"/>
          <w:b/>
          <w:bCs/>
          <w:i/>
          <w:iCs/>
          <w:snapToGrid w:val="0"/>
          <w:lang w:val="es-ES" w:eastAsia="es-ES"/>
        </w:rPr>
        <w:t>(Fond</w:t>
      </w:r>
      <w:r w:rsidR="002766C3">
        <w:rPr>
          <w:rFonts w:eastAsia="Calibri" w:cs="Verdana"/>
          <w:b/>
          <w:bCs/>
          <w:i/>
          <w:iCs/>
          <w:snapToGrid w:val="0"/>
          <w:lang w:val="es-ES" w:eastAsia="es-ES"/>
        </w:rPr>
        <w:t>o y</w:t>
      </w:r>
      <w:r w:rsidRPr="00F955EE">
        <w:rPr>
          <w:rFonts w:eastAsia="Calibri" w:cs="Verdana"/>
          <w:b/>
          <w:bCs/>
          <w:i/>
          <w:iCs/>
          <w:snapToGrid w:val="0"/>
          <w:lang w:val="es-ES" w:eastAsia="es-ES"/>
        </w:rPr>
        <w:t xml:space="preserve"> Reparaciones)</w:t>
      </w:r>
    </w:p>
    <w:p w14:paraId="1D86E6A2" w14:textId="378BA366" w:rsidR="009B752E" w:rsidRDefault="009B752E" w:rsidP="00616A72">
      <w:pPr>
        <w:tabs>
          <w:tab w:val="left" w:pos="720"/>
        </w:tabs>
        <w:jc w:val="center"/>
        <w:rPr>
          <w:rFonts w:eastAsia="Calibri" w:cs="Verdana"/>
          <w:b/>
          <w:bCs/>
          <w:i/>
          <w:iCs/>
          <w:snapToGrid w:val="0"/>
          <w:lang w:val="es-ES" w:eastAsia="es-ES"/>
        </w:rPr>
      </w:pPr>
    </w:p>
    <w:p w14:paraId="03084957" w14:textId="77777777" w:rsidR="009B752E" w:rsidRDefault="009B752E" w:rsidP="00616A72">
      <w:pPr>
        <w:tabs>
          <w:tab w:val="left" w:pos="720"/>
        </w:tabs>
        <w:jc w:val="center"/>
        <w:rPr>
          <w:rFonts w:eastAsia="Calibri" w:cs="Verdana"/>
          <w:b/>
          <w:bCs/>
          <w:i/>
          <w:iCs/>
          <w:snapToGrid w:val="0"/>
          <w:lang w:val="es-ES" w:eastAsia="es-ES"/>
        </w:rPr>
      </w:pPr>
    </w:p>
    <w:p w14:paraId="118CD201" w14:textId="77777777" w:rsidR="009B752E" w:rsidRPr="00F955EE" w:rsidRDefault="009B752E" w:rsidP="00616A72">
      <w:pPr>
        <w:tabs>
          <w:tab w:val="left" w:pos="720"/>
        </w:tabs>
        <w:jc w:val="center"/>
        <w:rPr>
          <w:rFonts w:eastAsia="Calibri" w:cs="Verdana"/>
          <w:b/>
          <w:bCs/>
          <w:caps/>
          <w:snapToGrid w:val="0"/>
          <w:lang w:val="es-ES" w:eastAsia="es-ES"/>
        </w:rPr>
      </w:pPr>
    </w:p>
    <w:p w14:paraId="1EAC4369" w14:textId="77777777" w:rsidR="00616A72" w:rsidRPr="00F955EE" w:rsidRDefault="00616A72" w:rsidP="00616A72">
      <w:pPr>
        <w:tabs>
          <w:tab w:val="left" w:pos="3819"/>
        </w:tabs>
        <w:spacing w:before="4" w:line="280" w:lineRule="exact"/>
        <w:rPr>
          <w:rFonts w:eastAsia="Calibri"/>
          <w:lang w:val="es-ES"/>
        </w:rPr>
      </w:pPr>
      <w:r w:rsidRPr="00F955EE">
        <w:rPr>
          <w:rFonts w:eastAsia="Calibri"/>
          <w:lang w:val="es-ES"/>
        </w:rPr>
        <w:tab/>
      </w:r>
    </w:p>
    <w:p w14:paraId="51A2CD4A" w14:textId="77777777" w:rsidR="00616A72" w:rsidRPr="00F955EE" w:rsidRDefault="00616A72" w:rsidP="00616A72">
      <w:pPr>
        <w:tabs>
          <w:tab w:val="left" w:pos="720"/>
        </w:tabs>
        <w:rPr>
          <w:rFonts w:eastAsia="Verdana" w:cs="Verdana"/>
          <w:lang w:val="es-ES"/>
        </w:rPr>
      </w:pPr>
      <w:r w:rsidRPr="00F955EE">
        <w:rPr>
          <w:rFonts w:eastAsia="Verdana" w:cs="Verdana"/>
          <w:lang w:val="es-ES"/>
        </w:rPr>
        <w:t xml:space="preserve">En el caso </w:t>
      </w:r>
      <w:r w:rsidRPr="00F955EE">
        <w:rPr>
          <w:rFonts w:eastAsia="Verdana" w:cs="Verdana"/>
          <w:i/>
          <w:lang w:val="es-ES"/>
        </w:rPr>
        <w:t>Roche Azaña y otros Vs. Nicaragua</w:t>
      </w:r>
      <w:r w:rsidRPr="00F955EE">
        <w:rPr>
          <w:rFonts w:eastAsia="Verdana" w:cs="Verdana"/>
          <w:lang w:val="es-ES"/>
        </w:rPr>
        <w:t>,</w:t>
      </w:r>
    </w:p>
    <w:p w14:paraId="6DAA67EC" w14:textId="77777777" w:rsidR="00616A72" w:rsidRPr="00F955EE" w:rsidRDefault="00616A72" w:rsidP="00616A72">
      <w:pPr>
        <w:spacing w:before="4" w:line="240" w:lineRule="exact"/>
        <w:rPr>
          <w:rFonts w:eastAsia="Calibri"/>
          <w:lang w:val="es-ES"/>
        </w:rPr>
      </w:pPr>
    </w:p>
    <w:p w14:paraId="3D61B2FC" w14:textId="77777777" w:rsidR="00616A72" w:rsidRPr="00F955EE" w:rsidRDefault="00616A72" w:rsidP="00616A72">
      <w:pPr>
        <w:tabs>
          <w:tab w:val="left" w:pos="720"/>
        </w:tabs>
        <w:rPr>
          <w:rFonts w:eastAsia="Calibri" w:cs="Verdana"/>
          <w:lang w:val="es-ES"/>
        </w:rPr>
      </w:pPr>
      <w:r w:rsidRPr="00F955EE">
        <w:rPr>
          <w:rFonts w:eastAsia="Calibri" w:cs="Verdana"/>
          <w:lang w:val="es-ES"/>
        </w:rPr>
        <w:t>la Corte Interamericana de Derechos Humanos (en adelante “la Corte Interamericana”, “la Corte” o “este Tribunal”), integrada por los siguientes jueces:</w:t>
      </w:r>
      <w:r w:rsidRPr="00F955EE">
        <w:rPr>
          <w:rFonts w:eastAsia="Calibri" w:cs="Verdana"/>
          <w:lang w:val="es-ES"/>
        </w:rPr>
        <w:tab/>
      </w:r>
    </w:p>
    <w:p w14:paraId="681C36E6" w14:textId="77777777" w:rsidR="00616A72" w:rsidRPr="00F955EE" w:rsidRDefault="00616A72" w:rsidP="00616A72">
      <w:pPr>
        <w:tabs>
          <w:tab w:val="left" w:pos="720"/>
        </w:tabs>
        <w:rPr>
          <w:rFonts w:eastAsia="Calibri" w:cs="Verdana"/>
          <w:lang w:val="es-ES"/>
        </w:rPr>
      </w:pPr>
    </w:p>
    <w:p w14:paraId="1D730F17" w14:textId="77777777" w:rsidR="00616A72" w:rsidRPr="00F955EE" w:rsidRDefault="00616A72" w:rsidP="00616A72">
      <w:pPr>
        <w:tabs>
          <w:tab w:val="left" w:pos="720"/>
        </w:tabs>
        <w:rPr>
          <w:rFonts w:eastAsia="Calibri" w:cs="Verdana"/>
          <w:lang w:val="es-ES"/>
        </w:rPr>
      </w:pPr>
      <w:r w:rsidRPr="00F955EE">
        <w:rPr>
          <w:rFonts w:eastAsia="Calibri" w:cs="Verdana"/>
          <w:lang w:val="es-ES"/>
        </w:rPr>
        <w:t>Elizabeth Odio Benito, Presidenta;</w:t>
      </w:r>
    </w:p>
    <w:p w14:paraId="6216B0A8" w14:textId="77777777" w:rsidR="00616A72" w:rsidRPr="00F955EE" w:rsidRDefault="00616A72" w:rsidP="00616A72">
      <w:pPr>
        <w:tabs>
          <w:tab w:val="left" w:pos="720"/>
        </w:tabs>
        <w:rPr>
          <w:rFonts w:eastAsia="Calibri" w:cs="Verdana"/>
          <w:lang w:val="es-ES"/>
        </w:rPr>
      </w:pPr>
      <w:r w:rsidRPr="00F955EE">
        <w:rPr>
          <w:rFonts w:eastAsia="Calibri" w:cs="Verdana"/>
          <w:lang w:val="es-ES"/>
        </w:rPr>
        <w:t>L. Patricio Pazmiño Freire, Vicepresidente;</w:t>
      </w:r>
    </w:p>
    <w:p w14:paraId="1B840BED" w14:textId="26CDB74B" w:rsidR="00616A72" w:rsidRPr="00F955EE" w:rsidRDefault="00616A72" w:rsidP="00616A72">
      <w:pPr>
        <w:tabs>
          <w:tab w:val="left" w:pos="720"/>
        </w:tabs>
        <w:rPr>
          <w:rFonts w:eastAsia="Calibri" w:cs="Verdana"/>
          <w:lang w:val="es-ES"/>
        </w:rPr>
      </w:pPr>
      <w:r w:rsidRPr="00F955EE">
        <w:rPr>
          <w:rFonts w:eastAsia="Calibri" w:cs="Verdana"/>
          <w:lang w:val="es-ES"/>
        </w:rPr>
        <w:t>Eduardo Vio Grossi</w:t>
      </w:r>
      <w:r w:rsidR="006C4373">
        <w:rPr>
          <w:rFonts w:eastAsia="Calibri" w:cs="Verdana"/>
          <w:lang w:val="es-ES"/>
        </w:rPr>
        <w:t>,</w:t>
      </w:r>
      <w:r w:rsidRPr="00F955EE">
        <w:rPr>
          <w:rFonts w:eastAsia="Calibri" w:cs="Verdana"/>
          <w:lang w:val="es-ES"/>
        </w:rPr>
        <w:t xml:space="preserve"> Juez</w:t>
      </w:r>
      <w:r w:rsidR="006C4373">
        <w:rPr>
          <w:rFonts w:eastAsia="Calibri" w:cs="Verdana"/>
          <w:lang w:val="es-ES"/>
        </w:rPr>
        <w:t>;</w:t>
      </w:r>
    </w:p>
    <w:p w14:paraId="33CA5658" w14:textId="77777777" w:rsidR="00616A72" w:rsidRPr="00F955EE" w:rsidRDefault="00616A72" w:rsidP="00616A72">
      <w:pPr>
        <w:tabs>
          <w:tab w:val="left" w:pos="720"/>
        </w:tabs>
        <w:rPr>
          <w:rFonts w:eastAsia="Calibri" w:cs="Verdana"/>
          <w:lang w:val="es-ES"/>
        </w:rPr>
      </w:pPr>
      <w:r w:rsidRPr="00F955EE">
        <w:rPr>
          <w:rFonts w:eastAsia="Calibri" w:cs="Verdana"/>
          <w:lang w:val="es-ES"/>
        </w:rPr>
        <w:t>Humberto Antonio Sierra Porto, Juez;</w:t>
      </w:r>
    </w:p>
    <w:p w14:paraId="745F403D" w14:textId="6ED0358D" w:rsidR="00616A72" w:rsidRPr="00F955EE" w:rsidRDefault="00616A72" w:rsidP="00616A72">
      <w:pPr>
        <w:tabs>
          <w:tab w:val="left" w:pos="720"/>
        </w:tabs>
        <w:rPr>
          <w:rFonts w:eastAsia="Calibri" w:cs="Verdana"/>
          <w:lang w:val="es-ES"/>
        </w:rPr>
      </w:pPr>
      <w:r w:rsidRPr="00F955EE">
        <w:rPr>
          <w:rFonts w:eastAsia="Calibri" w:cs="Verdana"/>
          <w:lang w:val="es-ES"/>
        </w:rPr>
        <w:t>Eduardo Ferrer Mac-Gregor Poisot</w:t>
      </w:r>
      <w:r w:rsidR="00197A72" w:rsidRPr="00F955EE">
        <w:rPr>
          <w:rFonts w:eastAsia="Calibri" w:cs="Verdana"/>
          <w:lang w:val="es-ES"/>
        </w:rPr>
        <w:t>, Juez;</w:t>
      </w:r>
    </w:p>
    <w:p w14:paraId="05304EF0" w14:textId="77777777" w:rsidR="00616A72" w:rsidRPr="00F955EE" w:rsidRDefault="00616A72" w:rsidP="00616A72">
      <w:pPr>
        <w:tabs>
          <w:tab w:val="left" w:pos="720"/>
        </w:tabs>
        <w:rPr>
          <w:rFonts w:eastAsia="Calibri" w:cs="Verdana"/>
          <w:lang w:val="es-ES"/>
        </w:rPr>
      </w:pPr>
      <w:r w:rsidRPr="00F955EE">
        <w:rPr>
          <w:rFonts w:eastAsia="Calibri" w:cs="Verdana"/>
          <w:lang w:val="es-ES"/>
        </w:rPr>
        <w:t xml:space="preserve">Eugenio Raúl Zaffaroni, Juez, y </w:t>
      </w:r>
    </w:p>
    <w:p w14:paraId="2950FA85" w14:textId="77777777" w:rsidR="00616A72" w:rsidRPr="00F955EE" w:rsidRDefault="00616A72" w:rsidP="00616A72">
      <w:pPr>
        <w:tabs>
          <w:tab w:val="left" w:pos="720"/>
        </w:tabs>
        <w:rPr>
          <w:rFonts w:eastAsia="Calibri" w:cs="Verdana"/>
          <w:lang w:val="es-ES"/>
        </w:rPr>
      </w:pPr>
      <w:r w:rsidRPr="00F955EE">
        <w:rPr>
          <w:rFonts w:eastAsia="Calibri" w:cs="Verdana"/>
          <w:lang w:val="es-ES"/>
        </w:rPr>
        <w:t>Ricardo Pérez Manrique, Juez.</w:t>
      </w:r>
    </w:p>
    <w:p w14:paraId="22A79609" w14:textId="77777777" w:rsidR="00616A72" w:rsidRPr="00F955EE" w:rsidRDefault="00616A72" w:rsidP="00616A72">
      <w:pPr>
        <w:tabs>
          <w:tab w:val="left" w:pos="720"/>
        </w:tabs>
        <w:rPr>
          <w:rFonts w:eastAsia="Calibri" w:cs="Verdana"/>
          <w:lang w:val="es-ES"/>
        </w:rPr>
      </w:pPr>
    </w:p>
    <w:p w14:paraId="1233A952" w14:textId="3BF570FD" w:rsidR="00616A72" w:rsidRPr="00F955EE" w:rsidRDefault="00616A72" w:rsidP="00616A72">
      <w:pPr>
        <w:tabs>
          <w:tab w:val="left" w:pos="720"/>
        </w:tabs>
        <w:rPr>
          <w:rFonts w:eastAsia="Calibri" w:cs="Verdana"/>
          <w:lang w:val="es-ES"/>
        </w:rPr>
      </w:pPr>
      <w:r w:rsidRPr="00F955EE">
        <w:rPr>
          <w:rFonts w:eastAsia="Calibri" w:cs="Verdana"/>
          <w:lang w:val="es-ES"/>
        </w:rPr>
        <w:t>presente</w:t>
      </w:r>
      <w:r w:rsidR="009B1A98" w:rsidRPr="00F955EE">
        <w:rPr>
          <w:rFonts w:eastAsia="Calibri" w:cs="Verdana"/>
          <w:lang w:val="es-ES"/>
        </w:rPr>
        <w:t>s</w:t>
      </w:r>
      <w:r w:rsidRPr="00F955EE">
        <w:rPr>
          <w:rFonts w:eastAsia="Calibri" w:cs="Verdana"/>
          <w:lang w:val="es-ES"/>
        </w:rPr>
        <w:t xml:space="preserve"> además,</w:t>
      </w:r>
    </w:p>
    <w:p w14:paraId="62F35E4B" w14:textId="77777777" w:rsidR="00616A72" w:rsidRPr="00F955EE" w:rsidRDefault="00616A72" w:rsidP="00616A72">
      <w:pPr>
        <w:tabs>
          <w:tab w:val="left" w:pos="720"/>
        </w:tabs>
        <w:rPr>
          <w:rFonts w:eastAsia="Calibri" w:cs="Verdana"/>
          <w:lang w:val="es-ES"/>
        </w:rPr>
      </w:pPr>
    </w:p>
    <w:p w14:paraId="2D75433B" w14:textId="77777777" w:rsidR="00616A72" w:rsidRPr="00F955EE" w:rsidRDefault="00616A72" w:rsidP="00616A72">
      <w:pPr>
        <w:tabs>
          <w:tab w:val="left" w:pos="720"/>
        </w:tabs>
        <w:rPr>
          <w:rFonts w:eastAsia="Calibri" w:cs="Verdana"/>
          <w:lang w:val="es-ES"/>
        </w:rPr>
      </w:pPr>
      <w:r w:rsidRPr="00F955EE">
        <w:rPr>
          <w:rFonts w:eastAsia="Calibri" w:cs="Verdana"/>
          <w:lang w:val="es-ES"/>
        </w:rPr>
        <w:t xml:space="preserve">Pablo Saavedra Alessandri, Secretario, y </w:t>
      </w:r>
    </w:p>
    <w:p w14:paraId="06A0FC10" w14:textId="0ECB5B00" w:rsidR="00616A72" w:rsidRPr="00F955EE" w:rsidRDefault="00616A72" w:rsidP="00616A72">
      <w:pPr>
        <w:tabs>
          <w:tab w:val="left" w:pos="720"/>
        </w:tabs>
        <w:rPr>
          <w:rFonts w:eastAsia="Calibri" w:cs="Verdana"/>
          <w:lang w:val="es-ES"/>
        </w:rPr>
      </w:pPr>
      <w:r w:rsidRPr="00F955EE">
        <w:rPr>
          <w:rFonts w:eastAsia="Calibri" w:cs="Verdana"/>
          <w:lang w:val="es-ES"/>
        </w:rPr>
        <w:t>Romina I. Sijniensky, Secretaria Adjunta</w:t>
      </w:r>
      <w:r w:rsidR="009B1A98" w:rsidRPr="00F955EE">
        <w:rPr>
          <w:rFonts w:eastAsia="Calibri" w:cs="Verdana"/>
          <w:lang w:val="es-ES"/>
        </w:rPr>
        <w:t>,</w:t>
      </w:r>
      <w:r w:rsidR="00B23B67" w:rsidRPr="00F955EE">
        <w:rPr>
          <w:rFonts w:eastAsia="Calibri" w:cs="Verdana"/>
          <w:lang w:val="es-ES"/>
        </w:rPr>
        <w:t xml:space="preserve"> </w:t>
      </w:r>
    </w:p>
    <w:p w14:paraId="68F2AC2E" w14:textId="77777777" w:rsidR="00616A72" w:rsidRPr="00F955EE" w:rsidRDefault="00616A72" w:rsidP="00616A72">
      <w:pPr>
        <w:tabs>
          <w:tab w:val="left" w:pos="720"/>
        </w:tabs>
        <w:rPr>
          <w:rFonts w:eastAsia="Calibri" w:cs="Verdana"/>
          <w:lang w:val="es-ES"/>
        </w:rPr>
      </w:pPr>
    </w:p>
    <w:p w14:paraId="40C44DA8" w14:textId="77777777" w:rsidR="00616A72" w:rsidRPr="00F955EE" w:rsidRDefault="00616A72" w:rsidP="00616A72">
      <w:pPr>
        <w:tabs>
          <w:tab w:val="left" w:pos="720"/>
        </w:tabs>
        <w:rPr>
          <w:rFonts w:eastAsia="Calibri" w:cs="Verdana"/>
          <w:lang w:val="es-ES"/>
        </w:rPr>
      </w:pPr>
      <w:r w:rsidRPr="00F955EE">
        <w:rPr>
          <w:rFonts w:eastAsia="Calibri" w:cs="Verdana"/>
          <w:lang w:val="es-ES"/>
        </w:rPr>
        <w:t>de conformidad con los artículos 62.3 y 63.1 de la Convención Americana sobre Derechos Humanos (en adelante “la Convención Americana” o “la Convención”) y con los artículos 31, 32, 62, 65 y 67 del Reglamento de la Corte (en adelante “el Reglamento” o “el Reglamento de la Corte”), dicta la presente Sentencia, que se estructura en el siguiente orden:</w:t>
      </w:r>
    </w:p>
    <w:p w14:paraId="577718B3" w14:textId="3D94B96C" w:rsidR="00616A72" w:rsidRPr="00F955EE" w:rsidRDefault="00E161E0" w:rsidP="00E161E0">
      <w:pPr>
        <w:widowControl/>
        <w:adjustRightInd/>
        <w:spacing w:after="160" w:line="259" w:lineRule="auto"/>
        <w:jc w:val="left"/>
        <w:textAlignment w:val="auto"/>
        <w:rPr>
          <w:rFonts w:eastAsia="Calibri"/>
          <w:lang w:val="es-ES"/>
        </w:rPr>
      </w:pPr>
      <w:r>
        <w:rPr>
          <w:rFonts w:eastAsia="Calibri"/>
          <w:lang w:val="es-ES"/>
        </w:rPr>
        <w:br w:type="page"/>
      </w:r>
    </w:p>
    <w:sdt>
      <w:sdtPr>
        <w:rPr>
          <w:b w:val="0"/>
          <w:caps w:val="0"/>
          <w:sz w:val="20"/>
          <w:szCs w:val="20"/>
          <w:lang w:val="es-CR"/>
        </w:rPr>
        <w:id w:val="1909802414"/>
        <w:docPartObj>
          <w:docPartGallery w:val="Table of Contents"/>
          <w:docPartUnique/>
        </w:docPartObj>
      </w:sdtPr>
      <w:sdtEndPr/>
      <w:sdtContent>
        <w:p w14:paraId="238C4B05" w14:textId="13E183A7" w:rsidR="00900D77" w:rsidRPr="00900D77" w:rsidRDefault="00900D77" w:rsidP="00900D77">
          <w:pPr>
            <w:pStyle w:val="TDC1"/>
            <w:spacing w:before="240" w:after="240"/>
          </w:pPr>
          <w:r w:rsidRPr="00900D77">
            <w:t>TABLA DE CONTENIDO</w:t>
          </w:r>
        </w:p>
        <w:p w14:paraId="31AC8F3B" w14:textId="006D739B" w:rsidR="00285602" w:rsidRPr="00285602" w:rsidRDefault="00616A72" w:rsidP="00900D77">
          <w:pPr>
            <w:pStyle w:val="TDC1"/>
            <w:rPr>
              <w:rFonts w:asciiTheme="minorHAnsi" w:eastAsiaTheme="minorEastAsia" w:hAnsiTheme="minorHAnsi" w:cstheme="minorBidi"/>
              <w:noProof/>
              <w:lang w:eastAsia="es-ES_tradnl"/>
            </w:rPr>
          </w:pPr>
          <w:r w:rsidRPr="002D14B0">
            <w:rPr>
              <w:rFonts w:eastAsia="MS Mincho" w:cs="Verdana"/>
              <w:snapToGrid w:val="0"/>
              <w:lang w:eastAsia="ja-JP"/>
            </w:rPr>
            <w:fldChar w:fldCharType="begin"/>
          </w:r>
          <w:r w:rsidRPr="002D14B0">
            <w:instrText xml:space="preserve"> TOC \o "1-3" \h \z \u </w:instrText>
          </w:r>
          <w:r w:rsidRPr="002D14B0">
            <w:rPr>
              <w:rFonts w:eastAsia="MS Mincho" w:cs="Verdana"/>
              <w:snapToGrid w:val="0"/>
              <w:lang w:eastAsia="ja-JP"/>
            </w:rPr>
            <w:fldChar w:fldCharType="separate"/>
          </w:r>
          <w:hyperlink w:anchor="_Toc43216141" w:history="1">
            <w:r w:rsidR="00285602" w:rsidRPr="00285602">
              <w:rPr>
                <w:rStyle w:val="Hipervnculo"/>
                <w:noProof/>
              </w:rPr>
              <w:t>I INTRODUCCIÓN DE LA CAUSA Y OBJETO DE LA CONTROVERSIA</w:t>
            </w:r>
            <w:r w:rsidR="00285602" w:rsidRPr="00285602">
              <w:rPr>
                <w:noProof/>
                <w:webHidden/>
              </w:rPr>
              <w:tab/>
            </w:r>
            <w:r w:rsidR="00285602" w:rsidRPr="00285602">
              <w:rPr>
                <w:noProof/>
                <w:webHidden/>
              </w:rPr>
              <w:fldChar w:fldCharType="begin"/>
            </w:r>
            <w:r w:rsidR="00285602" w:rsidRPr="00285602">
              <w:rPr>
                <w:noProof/>
                <w:webHidden/>
              </w:rPr>
              <w:instrText xml:space="preserve"> PAGEREF _Toc43216141 \h </w:instrText>
            </w:r>
            <w:r w:rsidR="00285602" w:rsidRPr="00285602">
              <w:rPr>
                <w:noProof/>
                <w:webHidden/>
              </w:rPr>
            </w:r>
            <w:r w:rsidR="00285602" w:rsidRPr="00285602">
              <w:rPr>
                <w:noProof/>
                <w:webHidden/>
              </w:rPr>
              <w:fldChar w:fldCharType="separate"/>
            </w:r>
            <w:r w:rsidR="00537C44">
              <w:rPr>
                <w:noProof/>
                <w:webHidden/>
              </w:rPr>
              <w:t>3</w:t>
            </w:r>
            <w:r w:rsidR="00285602" w:rsidRPr="00285602">
              <w:rPr>
                <w:noProof/>
                <w:webHidden/>
              </w:rPr>
              <w:fldChar w:fldCharType="end"/>
            </w:r>
          </w:hyperlink>
        </w:p>
        <w:p w14:paraId="43FF961C" w14:textId="3B27AF3B" w:rsidR="00285602" w:rsidRPr="00285602" w:rsidRDefault="009E306B" w:rsidP="00900D77">
          <w:pPr>
            <w:pStyle w:val="TDC1"/>
            <w:rPr>
              <w:rFonts w:asciiTheme="minorHAnsi" w:eastAsiaTheme="minorEastAsia" w:hAnsiTheme="minorHAnsi" w:cstheme="minorBidi"/>
              <w:noProof/>
              <w:lang w:eastAsia="es-ES_tradnl"/>
            </w:rPr>
          </w:pPr>
          <w:hyperlink w:anchor="_Toc43216142" w:history="1">
            <w:r w:rsidR="00285602" w:rsidRPr="00285602">
              <w:rPr>
                <w:rStyle w:val="Hipervnculo"/>
                <w:noProof/>
              </w:rPr>
              <w:t>II PROCEDIMIENTO ANTE LA CORTE</w:t>
            </w:r>
            <w:r w:rsidR="00285602" w:rsidRPr="00285602">
              <w:rPr>
                <w:noProof/>
                <w:webHidden/>
              </w:rPr>
              <w:tab/>
            </w:r>
            <w:r w:rsidR="00285602" w:rsidRPr="00285602">
              <w:rPr>
                <w:noProof/>
                <w:webHidden/>
              </w:rPr>
              <w:fldChar w:fldCharType="begin"/>
            </w:r>
            <w:r w:rsidR="00285602" w:rsidRPr="00285602">
              <w:rPr>
                <w:noProof/>
                <w:webHidden/>
              </w:rPr>
              <w:instrText xml:space="preserve"> PAGEREF _Toc43216142 \h </w:instrText>
            </w:r>
            <w:r w:rsidR="00285602" w:rsidRPr="00285602">
              <w:rPr>
                <w:noProof/>
                <w:webHidden/>
              </w:rPr>
            </w:r>
            <w:r w:rsidR="00285602" w:rsidRPr="00285602">
              <w:rPr>
                <w:noProof/>
                <w:webHidden/>
              </w:rPr>
              <w:fldChar w:fldCharType="separate"/>
            </w:r>
            <w:r w:rsidR="00537C44">
              <w:rPr>
                <w:noProof/>
                <w:webHidden/>
              </w:rPr>
              <w:t>4</w:t>
            </w:r>
            <w:r w:rsidR="00285602" w:rsidRPr="00285602">
              <w:rPr>
                <w:noProof/>
                <w:webHidden/>
              </w:rPr>
              <w:fldChar w:fldCharType="end"/>
            </w:r>
          </w:hyperlink>
        </w:p>
        <w:p w14:paraId="3F2E9B8B" w14:textId="48081F3C" w:rsidR="00285602" w:rsidRPr="00285602" w:rsidRDefault="009E306B" w:rsidP="00900D77">
          <w:pPr>
            <w:pStyle w:val="TDC1"/>
            <w:rPr>
              <w:rFonts w:asciiTheme="minorHAnsi" w:eastAsiaTheme="minorEastAsia" w:hAnsiTheme="minorHAnsi" w:cstheme="minorBidi"/>
              <w:noProof/>
              <w:lang w:eastAsia="es-ES_tradnl"/>
            </w:rPr>
          </w:pPr>
          <w:hyperlink w:anchor="_Toc43216143" w:history="1">
            <w:r w:rsidR="00285602" w:rsidRPr="00285602">
              <w:rPr>
                <w:rStyle w:val="Hipervnculo"/>
                <w:noProof/>
              </w:rPr>
              <w:t>III COMPETENCIA</w:t>
            </w:r>
            <w:r w:rsidR="00285602" w:rsidRPr="00285602">
              <w:rPr>
                <w:noProof/>
                <w:webHidden/>
              </w:rPr>
              <w:tab/>
            </w:r>
            <w:r w:rsidR="00285602" w:rsidRPr="00285602">
              <w:rPr>
                <w:noProof/>
                <w:webHidden/>
              </w:rPr>
              <w:fldChar w:fldCharType="begin"/>
            </w:r>
            <w:r w:rsidR="00285602" w:rsidRPr="00285602">
              <w:rPr>
                <w:noProof/>
                <w:webHidden/>
              </w:rPr>
              <w:instrText xml:space="preserve"> PAGEREF _Toc43216143 \h </w:instrText>
            </w:r>
            <w:r w:rsidR="00285602" w:rsidRPr="00285602">
              <w:rPr>
                <w:noProof/>
                <w:webHidden/>
              </w:rPr>
            </w:r>
            <w:r w:rsidR="00285602" w:rsidRPr="00285602">
              <w:rPr>
                <w:noProof/>
                <w:webHidden/>
              </w:rPr>
              <w:fldChar w:fldCharType="separate"/>
            </w:r>
            <w:r w:rsidR="00537C44">
              <w:rPr>
                <w:noProof/>
                <w:webHidden/>
              </w:rPr>
              <w:t>5</w:t>
            </w:r>
            <w:r w:rsidR="00285602" w:rsidRPr="00285602">
              <w:rPr>
                <w:noProof/>
                <w:webHidden/>
              </w:rPr>
              <w:fldChar w:fldCharType="end"/>
            </w:r>
          </w:hyperlink>
        </w:p>
        <w:p w14:paraId="7A12087F" w14:textId="1113C953" w:rsidR="00285602" w:rsidRPr="00285602" w:rsidRDefault="009E306B" w:rsidP="00900D77">
          <w:pPr>
            <w:pStyle w:val="TDC1"/>
            <w:rPr>
              <w:rFonts w:asciiTheme="minorHAnsi" w:eastAsiaTheme="minorEastAsia" w:hAnsiTheme="minorHAnsi" w:cstheme="minorBidi"/>
              <w:noProof/>
              <w:lang w:eastAsia="es-ES_tradnl"/>
            </w:rPr>
          </w:pPr>
          <w:hyperlink w:anchor="_Toc43216144" w:history="1">
            <w:r w:rsidR="00285602" w:rsidRPr="00285602">
              <w:rPr>
                <w:rStyle w:val="Hipervnculo"/>
                <w:noProof/>
              </w:rPr>
              <w:t>IV PRUEBA</w:t>
            </w:r>
            <w:r w:rsidR="00285602" w:rsidRPr="00285602">
              <w:rPr>
                <w:noProof/>
                <w:webHidden/>
              </w:rPr>
              <w:tab/>
            </w:r>
            <w:r w:rsidR="00285602" w:rsidRPr="00285602">
              <w:rPr>
                <w:noProof/>
                <w:webHidden/>
              </w:rPr>
              <w:fldChar w:fldCharType="begin"/>
            </w:r>
            <w:r w:rsidR="00285602" w:rsidRPr="00285602">
              <w:rPr>
                <w:noProof/>
                <w:webHidden/>
              </w:rPr>
              <w:instrText xml:space="preserve"> PAGEREF _Toc43216144 \h </w:instrText>
            </w:r>
            <w:r w:rsidR="00285602" w:rsidRPr="00285602">
              <w:rPr>
                <w:noProof/>
                <w:webHidden/>
              </w:rPr>
            </w:r>
            <w:r w:rsidR="00285602" w:rsidRPr="00285602">
              <w:rPr>
                <w:noProof/>
                <w:webHidden/>
              </w:rPr>
              <w:fldChar w:fldCharType="separate"/>
            </w:r>
            <w:r w:rsidR="00537C44">
              <w:rPr>
                <w:noProof/>
                <w:webHidden/>
              </w:rPr>
              <w:t>5</w:t>
            </w:r>
            <w:r w:rsidR="00285602" w:rsidRPr="00285602">
              <w:rPr>
                <w:noProof/>
                <w:webHidden/>
              </w:rPr>
              <w:fldChar w:fldCharType="end"/>
            </w:r>
          </w:hyperlink>
        </w:p>
        <w:p w14:paraId="20DCEAA6" w14:textId="00A44377" w:rsidR="00285602" w:rsidRPr="00285602" w:rsidRDefault="009E306B">
          <w:pPr>
            <w:pStyle w:val="TDC2"/>
            <w:rPr>
              <w:rFonts w:asciiTheme="minorHAnsi" w:eastAsiaTheme="minorEastAsia" w:hAnsiTheme="minorHAnsi" w:cstheme="minorBidi"/>
              <w:noProof/>
              <w:sz w:val="19"/>
              <w:szCs w:val="19"/>
              <w:lang w:val="es-ES" w:eastAsia="es-ES_tradnl"/>
            </w:rPr>
          </w:pPr>
          <w:hyperlink w:anchor="_Toc43216145" w:history="1">
            <w:r w:rsidR="00285602" w:rsidRPr="00285602">
              <w:rPr>
                <w:rStyle w:val="Hipervnculo"/>
                <w:noProof/>
                <w:sz w:val="19"/>
                <w:szCs w:val="19"/>
                <w:lang w:val="es-ES"/>
              </w:rPr>
              <w:t>A.</w:t>
            </w:r>
            <w:r w:rsidR="00285602" w:rsidRPr="00285602">
              <w:rPr>
                <w:rFonts w:asciiTheme="minorHAnsi" w:eastAsiaTheme="minorEastAsia" w:hAnsiTheme="minorHAnsi" w:cstheme="minorBidi"/>
                <w:noProof/>
                <w:sz w:val="19"/>
                <w:szCs w:val="19"/>
                <w:lang w:val="es-ES" w:eastAsia="es-ES_tradnl"/>
              </w:rPr>
              <w:tab/>
            </w:r>
            <w:r w:rsidR="00285602" w:rsidRPr="00285602">
              <w:rPr>
                <w:rStyle w:val="Hipervnculo"/>
                <w:noProof/>
                <w:sz w:val="19"/>
                <w:szCs w:val="19"/>
                <w:lang w:val="es-ES"/>
              </w:rPr>
              <w:t>Admisibilidad de la prueba documental</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_Toc43216145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5</w:t>
            </w:r>
            <w:r w:rsidR="00285602" w:rsidRPr="00285602">
              <w:rPr>
                <w:noProof/>
                <w:webHidden/>
                <w:sz w:val="19"/>
                <w:szCs w:val="19"/>
              </w:rPr>
              <w:fldChar w:fldCharType="end"/>
            </w:r>
          </w:hyperlink>
        </w:p>
        <w:p w14:paraId="5622952E" w14:textId="2D04B942" w:rsidR="00285602" w:rsidRPr="00285602" w:rsidRDefault="009E306B">
          <w:pPr>
            <w:pStyle w:val="TDC2"/>
            <w:rPr>
              <w:rFonts w:asciiTheme="minorHAnsi" w:eastAsiaTheme="minorEastAsia" w:hAnsiTheme="minorHAnsi" w:cstheme="minorBidi"/>
              <w:noProof/>
              <w:sz w:val="19"/>
              <w:szCs w:val="19"/>
              <w:lang w:val="es-ES" w:eastAsia="es-ES_tradnl"/>
            </w:rPr>
          </w:pPr>
          <w:hyperlink w:anchor="_Toc43216146" w:history="1">
            <w:r w:rsidR="00285602" w:rsidRPr="00285602">
              <w:rPr>
                <w:rStyle w:val="Hipervnculo"/>
                <w:noProof/>
                <w:sz w:val="19"/>
                <w:szCs w:val="19"/>
                <w:lang w:val="es-ES"/>
              </w:rPr>
              <w:t>B.</w:t>
            </w:r>
            <w:r w:rsidR="00285602" w:rsidRPr="00285602">
              <w:rPr>
                <w:rFonts w:asciiTheme="minorHAnsi" w:eastAsiaTheme="minorEastAsia" w:hAnsiTheme="minorHAnsi" w:cstheme="minorBidi"/>
                <w:noProof/>
                <w:sz w:val="19"/>
                <w:szCs w:val="19"/>
                <w:lang w:val="es-ES" w:eastAsia="es-ES_tradnl"/>
              </w:rPr>
              <w:tab/>
            </w:r>
            <w:r w:rsidR="00285602" w:rsidRPr="00285602">
              <w:rPr>
                <w:rStyle w:val="Hipervnculo"/>
                <w:noProof/>
                <w:sz w:val="19"/>
                <w:szCs w:val="19"/>
                <w:lang w:val="es-ES"/>
              </w:rPr>
              <w:t>Admisibilidad de la prueba testimonial y pericial</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_Toc43216146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6</w:t>
            </w:r>
            <w:r w:rsidR="00285602" w:rsidRPr="00285602">
              <w:rPr>
                <w:noProof/>
                <w:webHidden/>
                <w:sz w:val="19"/>
                <w:szCs w:val="19"/>
              </w:rPr>
              <w:fldChar w:fldCharType="end"/>
            </w:r>
          </w:hyperlink>
        </w:p>
        <w:p w14:paraId="07C1EC5E" w14:textId="6E6CF6AF" w:rsidR="00285602" w:rsidRPr="00285602" w:rsidRDefault="009E306B" w:rsidP="00900D77">
          <w:pPr>
            <w:pStyle w:val="TDC1"/>
            <w:rPr>
              <w:rFonts w:asciiTheme="minorHAnsi" w:eastAsiaTheme="minorEastAsia" w:hAnsiTheme="minorHAnsi" w:cstheme="minorBidi"/>
              <w:noProof/>
              <w:lang w:eastAsia="es-ES_tradnl"/>
            </w:rPr>
          </w:pPr>
          <w:hyperlink w:anchor="_Toc43216147" w:history="1">
            <w:r w:rsidR="00285602" w:rsidRPr="00285602">
              <w:rPr>
                <w:rStyle w:val="Hipervnculo"/>
                <w:noProof/>
              </w:rPr>
              <w:t>V HECHOS</w:t>
            </w:r>
            <w:r w:rsidR="00285602" w:rsidRPr="00285602">
              <w:rPr>
                <w:noProof/>
                <w:webHidden/>
              </w:rPr>
              <w:tab/>
            </w:r>
            <w:r w:rsidR="00285602" w:rsidRPr="00285602">
              <w:rPr>
                <w:noProof/>
                <w:webHidden/>
              </w:rPr>
              <w:fldChar w:fldCharType="begin"/>
            </w:r>
            <w:r w:rsidR="00285602" w:rsidRPr="00285602">
              <w:rPr>
                <w:noProof/>
                <w:webHidden/>
              </w:rPr>
              <w:instrText xml:space="preserve"> PAGEREF _Toc43216147 \h </w:instrText>
            </w:r>
            <w:r w:rsidR="00285602" w:rsidRPr="00285602">
              <w:rPr>
                <w:noProof/>
                <w:webHidden/>
              </w:rPr>
            </w:r>
            <w:r w:rsidR="00285602" w:rsidRPr="00285602">
              <w:rPr>
                <w:noProof/>
                <w:webHidden/>
              </w:rPr>
              <w:fldChar w:fldCharType="separate"/>
            </w:r>
            <w:r w:rsidR="00537C44">
              <w:rPr>
                <w:noProof/>
                <w:webHidden/>
              </w:rPr>
              <w:t>7</w:t>
            </w:r>
            <w:r w:rsidR="00285602" w:rsidRPr="00285602">
              <w:rPr>
                <w:noProof/>
                <w:webHidden/>
              </w:rPr>
              <w:fldChar w:fldCharType="end"/>
            </w:r>
          </w:hyperlink>
        </w:p>
        <w:p w14:paraId="35957FC8" w14:textId="5B835F67" w:rsidR="00285602" w:rsidRPr="00285602" w:rsidRDefault="009E306B">
          <w:pPr>
            <w:pStyle w:val="TDC2"/>
            <w:rPr>
              <w:rFonts w:asciiTheme="minorHAnsi" w:eastAsiaTheme="minorEastAsia" w:hAnsiTheme="minorHAnsi" w:cstheme="minorBidi"/>
              <w:noProof/>
              <w:sz w:val="19"/>
              <w:szCs w:val="19"/>
              <w:lang w:val="es-ES" w:eastAsia="es-ES_tradnl"/>
            </w:rPr>
          </w:pPr>
          <w:hyperlink w:anchor="_Toc43216148" w:history="1">
            <w:r w:rsidR="00285602" w:rsidRPr="00285602">
              <w:rPr>
                <w:rStyle w:val="Hipervnculo"/>
                <w:noProof/>
                <w:sz w:val="19"/>
                <w:szCs w:val="19"/>
                <w:lang w:val="es-ES"/>
              </w:rPr>
              <w:t>A.</w:t>
            </w:r>
            <w:r w:rsidR="00285602" w:rsidRPr="00285602">
              <w:rPr>
                <w:rFonts w:asciiTheme="minorHAnsi" w:eastAsiaTheme="minorEastAsia" w:hAnsiTheme="minorHAnsi" w:cstheme="minorBidi"/>
                <w:noProof/>
                <w:sz w:val="19"/>
                <w:szCs w:val="19"/>
                <w:lang w:val="es-ES" w:eastAsia="es-ES_tradnl"/>
              </w:rPr>
              <w:tab/>
            </w:r>
            <w:r w:rsidR="00285602" w:rsidRPr="00285602">
              <w:rPr>
                <w:rStyle w:val="Hipervnculo"/>
                <w:noProof/>
                <w:sz w:val="19"/>
                <w:szCs w:val="19"/>
                <w:lang w:val="es-ES"/>
              </w:rPr>
              <w:t>Muerte de Pedro Bacilio Roche Azaña y lesiones de Patricio Fernando Roche Azaña</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_Toc43216148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7</w:t>
            </w:r>
            <w:r w:rsidR="00285602" w:rsidRPr="00285602">
              <w:rPr>
                <w:noProof/>
                <w:webHidden/>
                <w:sz w:val="19"/>
                <w:szCs w:val="19"/>
              </w:rPr>
              <w:fldChar w:fldCharType="end"/>
            </w:r>
          </w:hyperlink>
        </w:p>
        <w:p w14:paraId="4353E6E2" w14:textId="068E5C34" w:rsidR="00285602" w:rsidRPr="00285602" w:rsidRDefault="009E306B">
          <w:pPr>
            <w:pStyle w:val="TDC2"/>
            <w:rPr>
              <w:rFonts w:asciiTheme="minorHAnsi" w:eastAsiaTheme="minorEastAsia" w:hAnsiTheme="minorHAnsi" w:cstheme="minorBidi"/>
              <w:noProof/>
              <w:sz w:val="19"/>
              <w:szCs w:val="19"/>
              <w:lang w:val="es-ES" w:eastAsia="es-ES_tradnl"/>
            </w:rPr>
          </w:pPr>
          <w:hyperlink w:anchor="_Toc43216149" w:history="1">
            <w:r w:rsidR="00285602" w:rsidRPr="00285602">
              <w:rPr>
                <w:rStyle w:val="Hipervnculo"/>
                <w:noProof/>
                <w:sz w:val="19"/>
                <w:szCs w:val="19"/>
                <w:lang w:val="es-ES"/>
              </w:rPr>
              <w:t>B.</w:t>
            </w:r>
            <w:r w:rsidR="00285602" w:rsidRPr="00285602">
              <w:rPr>
                <w:rFonts w:asciiTheme="minorHAnsi" w:eastAsiaTheme="minorEastAsia" w:hAnsiTheme="minorHAnsi" w:cstheme="minorBidi"/>
                <w:noProof/>
                <w:sz w:val="19"/>
                <w:szCs w:val="19"/>
                <w:lang w:val="es-ES" w:eastAsia="es-ES_tradnl"/>
              </w:rPr>
              <w:tab/>
            </w:r>
            <w:r w:rsidR="00285602" w:rsidRPr="00285602">
              <w:rPr>
                <w:rStyle w:val="Hipervnculo"/>
                <w:noProof/>
                <w:sz w:val="19"/>
                <w:szCs w:val="19"/>
                <w:lang w:val="es-ES"/>
              </w:rPr>
              <w:t>Proceso penal seguido contra los agentes estatales que participaron en los hechos del 14 de abril de 1996</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_Toc43216149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10</w:t>
            </w:r>
            <w:r w:rsidR="00285602" w:rsidRPr="00285602">
              <w:rPr>
                <w:noProof/>
                <w:webHidden/>
                <w:sz w:val="19"/>
                <w:szCs w:val="19"/>
              </w:rPr>
              <w:fldChar w:fldCharType="end"/>
            </w:r>
          </w:hyperlink>
        </w:p>
        <w:p w14:paraId="04CD5408" w14:textId="77919D1F" w:rsidR="00285602" w:rsidRPr="00285602" w:rsidRDefault="009E306B" w:rsidP="00900D77">
          <w:pPr>
            <w:pStyle w:val="TDC1"/>
            <w:rPr>
              <w:rFonts w:asciiTheme="minorHAnsi" w:eastAsiaTheme="minorEastAsia" w:hAnsiTheme="minorHAnsi" w:cstheme="minorBidi"/>
              <w:noProof/>
              <w:lang w:eastAsia="es-ES_tradnl"/>
            </w:rPr>
          </w:pPr>
          <w:hyperlink w:anchor="_Toc43216150" w:history="1">
            <w:r w:rsidR="00285602" w:rsidRPr="00285602">
              <w:rPr>
                <w:rStyle w:val="Hipervnculo"/>
                <w:noProof/>
              </w:rPr>
              <w:t>VI FONDO</w:t>
            </w:r>
            <w:r w:rsidR="00285602" w:rsidRPr="00285602">
              <w:rPr>
                <w:noProof/>
                <w:webHidden/>
              </w:rPr>
              <w:tab/>
            </w:r>
            <w:r w:rsidR="00285602" w:rsidRPr="00285602">
              <w:rPr>
                <w:noProof/>
                <w:webHidden/>
              </w:rPr>
              <w:fldChar w:fldCharType="begin"/>
            </w:r>
            <w:r w:rsidR="00285602" w:rsidRPr="00285602">
              <w:rPr>
                <w:noProof/>
                <w:webHidden/>
              </w:rPr>
              <w:instrText xml:space="preserve"> PAGEREF _Toc43216150 \h </w:instrText>
            </w:r>
            <w:r w:rsidR="00285602" w:rsidRPr="00285602">
              <w:rPr>
                <w:noProof/>
                <w:webHidden/>
              </w:rPr>
            </w:r>
            <w:r w:rsidR="00285602" w:rsidRPr="00285602">
              <w:rPr>
                <w:noProof/>
                <w:webHidden/>
              </w:rPr>
              <w:fldChar w:fldCharType="separate"/>
            </w:r>
            <w:r w:rsidR="00537C44">
              <w:rPr>
                <w:noProof/>
                <w:webHidden/>
              </w:rPr>
              <w:t>12</w:t>
            </w:r>
            <w:r w:rsidR="00285602" w:rsidRPr="00285602">
              <w:rPr>
                <w:noProof/>
                <w:webHidden/>
              </w:rPr>
              <w:fldChar w:fldCharType="end"/>
            </w:r>
          </w:hyperlink>
        </w:p>
        <w:p w14:paraId="541D67E9" w14:textId="75FCF664" w:rsidR="00285602" w:rsidRPr="00285602" w:rsidRDefault="009E306B" w:rsidP="00900D77">
          <w:pPr>
            <w:pStyle w:val="TDC1"/>
            <w:rPr>
              <w:rFonts w:asciiTheme="minorHAnsi" w:eastAsiaTheme="minorEastAsia" w:hAnsiTheme="minorHAnsi" w:cstheme="minorBidi"/>
              <w:noProof/>
              <w:lang w:eastAsia="es-ES_tradnl"/>
            </w:rPr>
          </w:pPr>
          <w:hyperlink w:anchor="_Toc43216151" w:history="1">
            <w:r w:rsidR="00285602" w:rsidRPr="00285602">
              <w:rPr>
                <w:rStyle w:val="Hipervnculo"/>
                <w:noProof/>
              </w:rPr>
              <w:t>VI-1 DERECHO A LA VIDA Y A LA INTEGRIDAD PERSONAL, ASÍ COMO EL DEBER DE ADOPTAR DISPOSICIONES DE DERECHO INTERNO</w:t>
            </w:r>
            <w:r w:rsidR="00285602" w:rsidRPr="00285602">
              <w:rPr>
                <w:noProof/>
                <w:webHidden/>
              </w:rPr>
              <w:tab/>
            </w:r>
            <w:r w:rsidR="00285602" w:rsidRPr="00285602">
              <w:rPr>
                <w:noProof/>
                <w:webHidden/>
              </w:rPr>
              <w:fldChar w:fldCharType="begin"/>
            </w:r>
            <w:r w:rsidR="00285602" w:rsidRPr="00285602">
              <w:rPr>
                <w:noProof/>
                <w:webHidden/>
              </w:rPr>
              <w:instrText xml:space="preserve"> PAGEREF _Toc43216151 \h </w:instrText>
            </w:r>
            <w:r w:rsidR="00285602" w:rsidRPr="00285602">
              <w:rPr>
                <w:noProof/>
                <w:webHidden/>
              </w:rPr>
            </w:r>
            <w:r w:rsidR="00285602" w:rsidRPr="00285602">
              <w:rPr>
                <w:noProof/>
                <w:webHidden/>
              </w:rPr>
              <w:fldChar w:fldCharType="separate"/>
            </w:r>
            <w:r w:rsidR="00537C44">
              <w:rPr>
                <w:noProof/>
                <w:webHidden/>
              </w:rPr>
              <w:t>13</w:t>
            </w:r>
            <w:r w:rsidR="00285602" w:rsidRPr="00285602">
              <w:rPr>
                <w:noProof/>
                <w:webHidden/>
              </w:rPr>
              <w:fldChar w:fldCharType="end"/>
            </w:r>
          </w:hyperlink>
        </w:p>
        <w:p w14:paraId="0728278C" w14:textId="7A265495" w:rsidR="00285602" w:rsidRPr="00285602" w:rsidRDefault="009E306B">
          <w:pPr>
            <w:pStyle w:val="TDC2"/>
            <w:rPr>
              <w:rFonts w:asciiTheme="minorHAnsi" w:eastAsiaTheme="minorEastAsia" w:hAnsiTheme="minorHAnsi" w:cstheme="minorBidi"/>
              <w:noProof/>
              <w:sz w:val="19"/>
              <w:szCs w:val="19"/>
              <w:lang w:val="es-ES" w:eastAsia="es-ES_tradnl"/>
            </w:rPr>
          </w:pPr>
          <w:hyperlink w:anchor="_Toc43216152" w:history="1">
            <w:r w:rsidR="00285602" w:rsidRPr="00285602">
              <w:rPr>
                <w:rStyle w:val="Hipervnculo"/>
                <w:noProof/>
                <w:sz w:val="19"/>
                <w:szCs w:val="19"/>
                <w:lang w:val="es-ES"/>
              </w:rPr>
              <w:t>A.</w:t>
            </w:r>
            <w:r w:rsidR="00285602" w:rsidRPr="00285602">
              <w:rPr>
                <w:rFonts w:asciiTheme="minorHAnsi" w:eastAsiaTheme="minorEastAsia" w:hAnsiTheme="minorHAnsi" w:cstheme="minorBidi"/>
                <w:noProof/>
                <w:sz w:val="19"/>
                <w:szCs w:val="19"/>
                <w:lang w:val="es-ES" w:eastAsia="es-ES_tradnl"/>
              </w:rPr>
              <w:tab/>
            </w:r>
            <w:r w:rsidR="00285602" w:rsidRPr="00285602">
              <w:rPr>
                <w:rStyle w:val="Hipervnculo"/>
                <w:noProof/>
                <w:sz w:val="19"/>
                <w:szCs w:val="19"/>
                <w:lang w:val="es-ES"/>
              </w:rPr>
              <w:t xml:space="preserve"> Argumentos de las partes y de la Comisión</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_Toc43216152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13</w:t>
            </w:r>
            <w:r w:rsidR="00285602" w:rsidRPr="00285602">
              <w:rPr>
                <w:noProof/>
                <w:webHidden/>
                <w:sz w:val="19"/>
                <w:szCs w:val="19"/>
              </w:rPr>
              <w:fldChar w:fldCharType="end"/>
            </w:r>
          </w:hyperlink>
        </w:p>
        <w:p w14:paraId="2A81C76E" w14:textId="27310AC6" w:rsidR="00285602" w:rsidRPr="00285602" w:rsidRDefault="009E306B">
          <w:pPr>
            <w:pStyle w:val="TDC3"/>
            <w:rPr>
              <w:rFonts w:asciiTheme="minorHAnsi" w:eastAsiaTheme="minorEastAsia" w:hAnsiTheme="minorHAnsi" w:cstheme="minorBidi"/>
              <w:noProof/>
              <w:sz w:val="19"/>
              <w:szCs w:val="19"/>
              <w:lang w:val="es-ES" w:eastAsia="es-ES_tradnl"/>
            </w:rPr>
          </w:pPr>
          <w:hyperlink w:anchor="_Toc43216153" w:history="1">
            <w:r w:rsidR="00285602" w:rsidRPr="00285602">
              <w:rPr>
                <w:rStyle w:val="Hipervnculo"/>
                <w:noProof/>
                <w:sz w:val="19"/>
                <w:szCs w:val="19"/>
                <w:lang w:val="es-ES"/>
              </w:rPr>
              <w:t>a.1 Muerte de Pedro Bacilio Roche Azaña y lesiones causadas a Patricio Fernando Roche Azaña</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_Toc43216153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13</w:t>
            </w:r>
            <w:r w:rsidR="00285602" w:rsidRPr="00285602">
              <w:rPr>
                <w:noProof/>
                <w:webHidden/>
                <w:sz w:val="19"/>
                <w:szCs w:val="19"/>
              </w:rPr>
              <w:fldChar w:fldCharType="end"/>
            </w:r>
          </w:hyperlink>
        </w:p>
        <w:p w14:paraId="4FCC88D3" w14:textId="631AD5E8" w:rsidR="00285602" w:rsidRPr="00285602" w:rsidRDefault="009E306B">
          <w:pPr>
            <w:pStyle w:val="TDC3"/>
            <w:rPr>
              <w:rFonts w:asciiTheme="minorHAnsi" w:eastAsiaTheme="minorEastAsia" w:hAnsiTheme="minorHAnsi" w:cstheme="minorBidi"/>
              <w:noProof/>
              <w:sz w:val="19"/>
              <w:szCs w:val="19"/>
              <w:lang w:val="es-ES" w:eastAsia="es-ES_tradnl"/>
            </w:rPr>
          </w:pPr>
          <w:hyperlink w:anchor="_Toc43216154" w:history="1">
            <w:r w:rsidR="00285602" w:rsidRPr="00285602">
              <w:rPr>
                <w:rStyle w:val="Hipervnculo"/>
                <w:noProof/>
                <w:sz w:val="19"/>
                <w:szCs w:val="19"/>
                <w:lang w:val="es-ES"/>
              </w:rPr>
              <w:t>a.2 Deber de adoptar disposiciones de derecho interno</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_Toc43216154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14</w:t>
            </w:r>
            <w:r w:rsidR="00285602" w:rsidRPr="00285602">
              <w:rPr>
                <w:noProof/>
                <w:webHidden/>
                <w:sz w:val="19"/>
                <w:szCs w:val="19"/>
              </w:rPr>
              <w:fldChar w:fldCharType="end"/>
            </w:r>
          </w:hyperlink>
        </w:p>
        <w:p w14:paraId="74A9D387" w14:textId="2367A20E" w:rsidR="00285602" w:rsidRPr="00285602" w:rsidRDefault="009E306B">
          <w:pPr>
            <w:pStyle w:val="TDC2"/>
            <w:rPr>
              <w:rFonts w:asciiTheme="minorHAnsi" w:eastAsiaTheme="minorEastAsia" w:hAnsiTheme="minorHAnsi" w:cstheme="minorBidi"/>
              <w:noProof/>
              <w:sz w:val="19"/>
              <w:szCs w:val="19"/>
              <w:lang w:val="es-ES" w:eastAsia="es-ES_tradnl"/>
            </w:rPr>
          </w:pPr>
          <w:hyperlink w:anchor="_Toc43216155" w:history="1">
            <w:r w:rsidR="00285602" w:rsidRPr="00285602">
              <w:rPr>
                <w:rStyle w:val="Hipervnculo"/>
                <w:noProof/>
                <w:sz w:val="19"/>
                <w:szCs w:val="19"/>
                <w:lang w:val="es-ES"/>
              </w:rPr>
              <w:t>B.</w:t>
            </w:r>
            <w:r w:rsidR="00285602" w:rsidRPr="00285602">
              <w:rPr>
                <w:rFonts w:asciiTheme="minorHAnsi" w:eastAsiaTheme="minorEastAsia" w:hAnsiTheme="minorHAnsi" w:cstheme="minorBidi"/>
                <w:noProof/>
                <w:sz w:val="19"/>
                <w:szCs w:val="19"/>
                <w:lang w:val="es-ES" w:eastAsia="es-ES_tradnl"/>
              </w:rPr>
              <w:tab/>
            </w:r>
            <w:r w:rsidR="00285602" w:rsidRPr="00285602">
              <w:rPr>
                <w:rStyle w:val="Hipervnculo"/>
                <w:noProof/>
                <w:sz w:val="19"/>
                <w:szCs w:val="19"/>
                <w:lang w:val="es-ES"/>
              </w:rPr>
              <w:t xml:space="preserve"> Consideraciones de la Corte</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_Toc43216155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15</w:t>
            </w:r>
            <w:r w:rsidR="00285602" w:rsidRPr="00285602">
              <w:rPr>
                <w:noProof/>
                <w:webHidden/>
                <w:sz w:val="19"/>
                <w:szCs w:val="19"/>
              </w:rPr>
              <w:fldChar w:fldCharType="end"/>
            </w:r>
          </w:hyperlink>
        </w:p>
        <w:p w14:paraId="3224C9D2" w14:textId="1629650B" w:rsidR="00285602" w:rsidRPr="00285602" w:rsidRDefault="009E306B" w:rsidP="00900D77">
          <w:pPr>
            <w:pStyle w:val="TDC1"/>
            <w:rPr>
              <w:rFonts w:asciiTheme="minorHAnsi" w:eastAsiaTheme="minorEastAsia" w:hAnsiTheme="minorHAnsi" w:cstheme="minorBidi"/>
              <w:noProof/>
              <w:lang w:eastAsia="es-ES_tradnl"/>
            </w:rPr>
          </w:pPr>
          <w:hyperlink w:anchor="_Toc43216156" w:history="1">
            <w:r w:rsidR="00285602" w:rsidRPr="00285602">
              <w:rPr>
                <w:rStyle w:val="Hipervnculo"/>
                <w:noProof/>
              </w:rPr>
              <w:t>VI-2 DERECHO A LAS GARANTÍAS JUDICIALES Y A LA PROTECCIÓN JUDICIAL</w:t>
            </w:r>
            <w:r w:rsidR="00285602" w:rsidRPr="00285602">
              <w:rPr>
                <w:noProof/>
                <w:webHidden/>
              </w:rPr>
              <w:tab/>
            </w:r>
            <w:r w:rsidR="00285602" w:rsidRPr="00285602">
              <w:rPr>
                <w:noProof/>
                <w:webHidden/>
              </w:rPr>
              <w:fldChar w:fldCharType="begin"/>
            </w:r>
            <w:r w:rsidR="00285602" w:rsidRPr="00285602">
              <w:rPr>
                <w:noProof/>
                <w:webHidden/>
              </w:rPr>
              <w:instrText xml:space="preserve"> PAGEREF _Toc43216156 \h </w:instrText>
            </w:r>
            <w:r w:rsidR="00285602" w:rsidRPr="00285602">
              <w:rPr>
                <w:noProof/>
                <w:webHidden/>
              </w:rPr>
            </w:r>
            <w:r w:rsidR="00285602" w:rsidRPr="00285602">
              <w:rPr>
                <w:noProof/>
                <w:webHidden/>
              </w:rPr>
              <w:fldChar w:fldCharType="separate"/>
            </w:r>
            <w:r w:rsidR="00537C44">
              <w:rPr>
                <w:noProof/>
                <w:webHidden/>
              </w:rPr>
              <w:t>23</w:t>
            </w:r>
            <w:r w:rsidR="00285602" w:rsidRPr="00285602">
              <w:rPr>
                <w:noProof/>
                <w:webHidden/>
              </w:rPr>
              <w:fldChar w:fldCharType="end"/>
            </w:r>
          </w:hyperlink>
        </w:p>
        <w:p w14:paraId="485F46CB" w14:textId="472C334D" w:rsidR="00285602" w:rsidRPr="00285602" w:rsidRDefault="009E306B">
          <w:pPr>
            <w:pStyle w:val="TDC2"/>
            <w:rPr>
              <w:rFonts w:asciiTheme="minorHAnsi" w:eastAsiaTheme="minorEastAsia" w:hAnsiTheme="minorHAnsi" w:cstheme="minorBidi"/>
              <w:noProof/>
              <w:sz w:val="19"/>
              <w:szCs w:val="19"/>
              <w:lang w:val="es-ES" w:eastAsia="es-ES_tradnl"/>
            </w:rPr>
          </w:pPr>
          <w:hyperlink w:anchor="_Toc43216157" w:history="1">
            <w:r w:rsidR="00285602" w:rsidRPr="00285602">
              <w:rPr>
                <w:rStyle w:val="Hipervnculo"/>
                <w:noProof/>
                <w:sz w:val="19"/>
                <w:szCs w:val="19"/>
                <w:lang w:val="es-ES"/>
              </w:rPr>
              <w:t>A.</w:t>
            </w:r>
            <w:r w:rsidR="00285602" w:rsidRPr="00285602">
              <w:rPr>
                <w:rFonts w:asciiTheme="minorHAnsi" w:eastAsiaTheme="minorEastAsia" w:hAnsiTheme="minorHAnsi" w:cstheme="minorBidi"/>
                <w:noProof/>
                <w:sz w:val="19"/>
                <w:szCs w:val="19"/>
                <w:lang w:val="es-ES" w:eastAsia="es-ES_tradnl"/>
              </w:rPr>
              <w:tab/>
            </w:r>
            <w:r w:rsidR="00285602" w:rsidRPr="00285602">
              <w:rPr>
                <w:rStyle w:val="Hipervnculo"/>
                <w:noProof/>
                <w:sz w:val="19"/>
                <w:szCs w:val="19"/>
                <w:lang w:val="es-ES"/>
              </w:rPr>
              <w:t xml:space="preserve"> Argumentos de las partes y de la Comisión</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_Toc43216157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23</w:t>
            </w:r>
            <w:r w:rsidR="00285602" w:rsidRPr="00285602">
              <w:rPr>
                <w:noProof/>
                <w:webHidden/>
                <w:sz w:val="19"/>
                <w:szCs w:val="19"/>
              </w:rPr>
              <w:fldChar w:fldCharType="end"/>
            </w:r>
          </w:hyperlink>
        </w:p>
        <w:p w14:paraId="0A2BBADB" w14:textId="2E11D741" w:rsidR="00285602" w:rsidRPr="00285602" w:rsidRDefault="009E306B">
          <w:pPr>
            <w:pStyle w:val="TDC3"/>
            <w:rPr>
              <w:rFonts w:asciiTheme="minorHAnsi" w:eastAsiaTheme="minorEastAsia" w:hAnsiTheme="minorHAnsi" w:cstheme="minorBidi"/>
              <w:noProof/>
              <w:sz w:val="19"/>
              <w:szCs w:val="19"/>
              <w:lang w:val="es-ES" w:eastAsia="es-ES_tradnl"/>
            </w:rPr>
          </w:pPr>
          <w:hyperlink w:anchor="_Toc43216158" w:history="1">
            <w:r w:rsidR="00285602" w:rsidRPr="00285602">
              <w:rPr>
                <w:rStyle w:val="Hipervnculo"/>
                <w:noProof/>
                <w:sz w:val="19"/>
                <w:szCs w:val="19"/>
                <w:lang w:val="es-ES"/>
              </w:rPr>
              <w:t>a.1 Participación del señor Patricio Fernando Roche Azaña y de sus familiares en el procedimiento penal</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_Toc43216158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23</w:t>
            </w:r>
            <w:r w:rsidR="00285602" w:rsidRPr="00285602">
              <w:rPr>
                <w:noProof/>
                <w:webHidden/>
                <w:sz w:val="19"/>
                <w:szCs w:val="19"/>
              </w:rPr>
              <w:fldChar w:fldCharType="end"/>
            </w:r>
          </w:hyperlink>
        </w:p>
        <w:p w14:paraId="4AAC269E" w14:textId="27503A4A" w:rsidR="00285602" w:rsidRPr="00285602" w:rsidRDefault="009E306B">
          <w:pPr>
            <w:pStyle w:val="TDC3"/>
            <w:rPr>
              <w:rFonts w:asciiTheme="minorHAnsi" w:eastAsiaTheme="minorEastAsia" w:hAnsiTheme="minorHAnsi" w:cstheme="minorBidi"/>
              <w:noProof/>
              <w:sz w:val="19"/>
              <w:szCs w:val="19"/>
              <w:lang w:val="es-ES" w:eastAsia="es-ES_tradnl"/>
            </w:rPr>
          </w:pPr>
          <w:hyperlink w:anchor="_Toc43216159" w:history="1">
            <w:r w:rsidR="00285602" w:rsidRPr="00285602">
              <w:rPr>
                <w:rStyle w:val="Hipervnculo"/>
                <w:noProof/>
                <w:sz w:val="19"/>
                <w:szCs w:val="19"/>
                <w:lang w:val="es-ES"/>
              </w:rPr>
              <w:t>a.2 Deber de motivación del veredicto de un jurado</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_Toc43216159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24</w:t>
            </w:r>
            <w:r w:rsidR="00285602" w:rsidRPr="00285602">
              <w:rPr>
                <w:noProof/>
                <w:webHidden/>
                <w:sz w:val="19"/>
                <w:szCs w:val="19"/>
              </w:rPr>
              <w:fldChar w:fldCharType="end"/>
            </w:r>
          </w:hyperlink>
        </w:p>
        <w:p w14:paraId="49526B0B" w14:textId="675C0538" w:rsidR="00285602" w:rsidRPr="00285602" w:rsidRDefault="009E306B">
          <w:pPr>
            <w:pStyle w:val="TDC3"/>
            <w:rPr>
              <w:rFonts w:asciiTheme="minorHAnsi" w:eastAsiaTheme="minorEastAsia" w:hAnsiTheme="minorHAnsi" w:cstheme="minorBidi"/>
              <w:noProof/>
              <w:sz w:val="19"/>
              <w:szCs w:val="19"/>
              <w:lang w:val="es-ES" w:eastAsia="es-ES_tradnl"/>
            </w:rPr>
          </w:pPr>
          <w:hyperlink w:anchor="_Toc43216160" w:history="1">
            <w:r w:rsidR="00285602" w:rsidRPr="00285602">
              <w:rPr>
                <w:rStyle w:val="Hipervnculo"/>
                <w:noProof/>
                <w:sz w:val="19"/>
                <w:szCs w:val="19"/>
                <w:lang w:val="es-ES"/>
              </w:rPr>
              <w:t>a.3 Ausencia de recurso contra el veredicto absolutorio</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_Toc43216160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25</w:t>
            </w:r>
            <w:r w:rsidR="00285602" w:rsidRPr="00285602">
              <w:rPr>
                <w:noProof/>
                <w:webHidden/>
                <w:sz w:val="19"/>
                <w:szCs w:val="19"/>
              </w:rPr>
              <w:fldChar w:fldCharType="end"/>
            </w:r>
          </w:hyperlink>
        </w:p>
        <w:p w14:paraId="79E15132" w14:textId="6436B74B" w:rsidR="00285602" w:rsidRPr="00285602" w:rsidRDefault="009E306B">
          <w:pPr>
            <w:pStyle w:val="TDC2"/>
            <w:rPr>
              <w:rFonts w:asciiTheme="minorHAnsi" w:eastAsiaTheme="minorEastAsia" w:hAnsiTheme="minorHAnsi" w:cstheme="minorBidi"/>
              <w:noProof/>
              <w:sz w:val="19"/>
              <w:szCs w:val="19"/>
              <w:lang w:val="es-ES" w:eastAsia="es-ES_tradnl"/>
            </w:rPr>
          </w:pPr>
          <w:hyperlink w:anchor="_Toc43216161" w:history="1">
            <w:r w:rsidR="00285602" w:rsidRPr="00285602">
              <w:rPr>
                <w:rStyle w:val="Hipervnculo"/>
                <w:noProof/>
                <w:sz w:val="19"/>
                <w:szCs w:val="19"/>
                <w:lang w:val="es-ES"/>
              </w:rPr>
              <w:t>B.</w:t>
            </w:r>
            <w:r w:rsidR="00285602" w:rsidRPr="00285602">
              <w:rPr>
                <w:rFonts w:asciiTheme="minorHAnsi" w:eastAsiaTheme="minorEastAsia" w:hAnsiTheme="minorHAnsi" w:cstheme="minorBidi"/>
                <w:noProof/>
                <w:sz w:val="19"/>
                <w:szCs w:val="19"/>
                <w:lang w:val="es-ES" w:eastAsia="es-ES_tradnl"/>
              </w:rPr>
              <w:tab/>
            </w:r>
            <w:r w:rsidR="00285602" w:rsidRPr="00285602">
              <w:rPr>
                <w:rStyle w:val="Hipervnculo"/>
                <w:noProof/>
                <w:sz w:val="19"/>
                <w:szCs w:val="19"/>
                <w:lang w:val="es-ES"/>
              </w:rPr>
              <w:t>Consideraciones de la Corte</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_Toc43216161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25</w:t>
            </w:r>
            <w:r w:rsidR="00285602" w:rsidRPr="00285602">
              <w:rPr>
                <w:noProof/>
                <w:webHidden/>
                <w:sz w:val="19"/>
                <w:szCs w:val="19"/>
              </w:rPr>
              <w:fldChar w:fldCharType="end"/>
            </w:r>
          </w:hyperlink>
        </w:p>
        <w:p w14:paraId="53F4E0F3" w14:textId="5FB3647F" w:rsidR="00285602" w:rsidRPr="00285602" w:rsidRDefault="009E306B">
          <w:pPr>
            <w:pStyle w:val="TDC3"/>
            <w:rPr>
              <w:rFonts w:asciiTheme="minorHAnsi" w:eastAsiaTheme="minorEastAsia" w:hAnsiTheme="minorHAnsi" w:cstheme="minorBidi"/>
              <w:noProof/>
              <w:sz w:val="19"/>
              <w:szCs w:val="19"/>
              <w:lang w:val="es-ES" w:eastAsia="es-ES_tradnl"/>
            </w:rPr>
          </w:pPr>
          <w:hyperlink w:anchor="_Toc43216162" w:history="1">
            <w:r w:rsidR="00285602" w:rsidRPr="00285602">
              <w:rPr>
                <w:rStyle w:val="Hipervnculo"/>
                <w:noProof/>
                <w:sz w:val="19"/>
                <w:szCs w:val="19"/>
                <w:lang w:val="es-ES"/>
              </w:rPr>
              <w:t>b.1 Participación del señor Patricio Fernando Roche Azaña y de sus familiares en el procedimiento penal</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_Toc43216162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25</w:t>
            </w:r>
            <w:r w:rsidR="00285602" w:rsidRPr="00285602">
              <w:rPr>
                <w:noProof/>
                <w:webHidden/>
                <w:sz w:val="19"/>
                <w:szCs w:val="19"/>
              </w:rPr>
              <w:fldChar w:fldCharType="end"/>
            </w:r>
          </w:hyperlink>
        </w:p>
        <w:p w14:paraId="7466B8CB" w14:textId="3AB11AD9" w:rsidR="00285602" w:rsidRPr="00285602" w:rsidRDefault="009E306B">
          <w:pPr>
            <w:pStyle w:val="TDC3"/>
            <w:rPr>
              <w:rFonts w:asciiTheme="minorHAnsi" w:eastAsiaTheme="minorEastAsia" w:hAnsiTheme="minorHAnsi" w:cstheme="minorBidi"/>
              <w:noProof/>
              <w:sz w:val="19"/>
              <w:szCs w:val="19"/>
              <w:lang w:val="es-ES" w:eastAsia="es-ES_tradnl"/>
            </w:rPr>
          </w:pPr>
          <w:hyperlink w:anchor="_Toc43216163" w:history="1">
            <w:r w:rsidR="00285602" w:rsidRPr="00285602">
              <w:rPr>
                <w:rStyle w:val="Hipervnculo"/>
                <w:noProof/>
                <w:sz w:val="19"/>
                <w:szCs w:val="19"/>
                <w:lang w:val="es-ES"/>
              </w:rPr>
              <w:t>b.2 Deber de motivación del veredicto de un jurado de y ausencia de recurso contra el veredicto absolutorio</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_Toc43216163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29</w:t>
            </w:r>
            <w:r w:rsidR="00285602" w:rsidRPr="00285602">
              <w:rPr>
                <w:noProof/>
                <w:webHidden/>
                <w:sz w:val="19"/>
                <w:szCs w:val="19"/>
              </w:rPr>
              <w:fldChar w:fldCharType="end"/>
            </w:r>
          </w:hyperlink>
        </w:p>
        <w:p w14:paraId="23CC40E1" w14:textId="115A5B3E" w:rsidR="00285602" w:rsidRPr="00285602" w:rsidRDefault="009E306B" w:rsidP="00900D77">
          <w:pPr>
            <w:pStyle w:val="TDC1"/>
            <w:rPr>
              <w:rFonts w:asciiTheme="minorHAnsi" w:eastAsiaTheme="minorEastAsia" w:hAnsiTheme="minorHAnsi" w:cstheme="minorBidi"/>
              <w:noProof/>
              <w:lang w:eastAsia="es-ES_tradnl"/>
            </w:rPr>
          </w:pPr>
          <w:hyperlink w:anchor="_Toc43216164" w:history="1">
            <w:r w:rsidR="00285602" w:rsidRPr="00285602">
              <w:rPr>
                <w:rStyle w:val="Hipervnculo"/>
                <w:noProof/>
                <w:lang w:eastAsia="en-US"/>
              </w:rPr>
              <w:t>VI-3 DERECHO A LA INTEGRIDAD PERSONAL DE LOS FAMILIARES DE LOS HERMANOS ROCHE AZAÑA</w:t>
            </w:r>
            <w:r w:rsidR="00285602" w:rsidRPr="00285602">
              <w:rPr>
                <w:noProof/>
                <w:webHidden/>
              </w:rPr>
              <w:tab/>
            </w:r>
            <w:r w:rsidR="00285602" w:rsidRPr="00285602">
              <w:rPr>
                <w:noProof/>
                <w:webHidden/>
              </w:rPr>
              <w:fldChar w:fldCharType="begin"/>
            </w:r>
            <w:r w:rsidR="00285602" w:rsidRPr="00285602">
              <w:rPr>
                <w:noProof/>
                <w:webHidden/>
              </w:rPr>
              <w:instrText xml:space="preserve"> PAGEREF _Toc43216164 \h </w:instrText>
            </w:r>
            <w:r w:rsidR="00285602" w:rsidRPr="00285602">
              <w:rPr>
                <w:noProof/>
                <w:webHidden/>
              </w:rPr>
            </w:r>
            <w:r w:rsidR="00285602" w:rsidRPr="00285602">
              <w:rPr>
                <w:noProof/>
                <w:webHidden/>
              </w:rPr>
              <w:fldChar w:fldCharType="separate"/>
            </w:r>
            <w:r w:rsidR="00537C44">
              <w:rPr>
                <w:noProof/>
                <w:webHidden/>
              </w:rPr>
              <w:t>29</w:t>
            </w:r>
            <w:r w:rsidR="00285602" w:rsidRPr="00285602">
              <w:rPr>
                <w:noProof/>
                <w:webHidden/>
              </w:rPr>
              <w:fldChar w:fldCharType="end"/>
            </w:r>
          </w:hyperlink>
        </w:p>
        <w:p w14:paraId="6DE1B866" w14:textId="3BD32F47" w:rsidR="00285602" w:rsidRPr="00285602" w:rsidRDefault="009E306B">
          <w:pPr>
            <w:pStyle w:val="TDC2"/>
            <w:rPr>
              <w:rFonts w:asciiTheme="minorHAnsi" w:eastAsiaTheme="minorEastAsia" w:hAnsiTheme="minorHAnsi" w:cstheme="minorBidi"/>
              <w:noProof/>
              <w:sz w:val="19"/>
              <w:szCs w:val="19"/>
              <w:lang w:val="es-ES" w:eastAsia="es-ES_tradnl"/>
            </w:rPr>
          </w:pPr>
          <w:hyperlink w:anchor="_Toc43216165" w:history="1">
            <w:r w:rsidR="00285602" w:rsidRPr="00285602">
              <w:rPr>
                <w:rStyle w:val="Hipervnculo"/>
                <w:noProof/>
                <w:sz w:val="19"/>
                <w:szCs w:val="19"/>
                <w:lang w:val="es-ES"/>
              </w:rPr>
              <w:t>A.</w:t>
            </w:r>
            <w:r w:rsidR="00285602" w:rsidRPr="00285602">
              <w:rPr>
                <w:rFonts w:asciiTheme="minorHAnsi" w:eastAsiaTheme="minorEastAsia" w:hAnsiTheme="minorHAnsi" w:cstheme="minorBidi"/>
                <w:noProof/>
                <w:sz w:val="19"/>
                <w:szCs w:val="19"/>
                <w:lang w:val="es-ES" w:eastAsia="es-ES_tradnl"/>
              </w:rPr>
              <w:tab/>
            </w:r>
            <w:r w:rsidR="00285602" w:rsidRPr="00285602">
              <w:rPr>
                <w:rStyle w:val="Hipervnculo"/>
                <w:noProof/>
                <w:sz w:val="19"/>
                <w:szCs w:val="19"/>
                <w:lang w:val="es-ES"/>
              </w:rPr>
              <w:t>Argumentos de las partes y de la Comisión</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_Toc43216165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29</w:t>
            </w:r>
            <w:r w:rsidR="00285602" w:rsidRPr="00285602">
              <w:rPr>
                <w:noProof/>
                <w:webHidden/>
                <w:sz w:val="19"/>
                <w:szCs w:val="19"/>
              </w:rPr>
              <w:fldChar w:fldCharType="end"/>
            </w:r>
          </w:hyperlink>
        </w:p>
        <w:p w14:paraId="076C17E5" w14:textId="39EEEDF1" w:rsidR="00285602" w:rsidRPr="00285602" w:rsidRDefault="009E306B">
          <w:pPr>
            <w:pStyle w:val="TDC2"/>
            <w:rPr>
              <w:rFonts w:asciiTheme="minorHAnsi" w:eastAsiaTheme="minorEastAsia" w:hAnsiTheme="minorHAnsi" w:cstheme="minorBidi"/>
              <w:noProof/>
              <w:sz w:val="19"/>
              <w:szCs w:val="19"/>
              <w:lang w:val="es-ES" w:eastAsia="es-ES_tradnl"/>
            </w:rPr>
          </w:pPr>
          <w:hyperlink w:anchor="_Toc43216166" w:history="1">
            <w:r w:rsidR="00285602" w:rsidRPr="00285602">
              <w:rPr>
                <w:rStyle w:val="Hipervnculo"/>
                <w:noProof/>
                <w:sz w:val="19"/>
                <w:szCs w:val="19"/>
                <w:lang w:val="es-ES"/>
              </w:rPr>
              <w:t>B.</w:t>
            </w:r>
            <w:r w:rsidR="00285602" w:rsidRPr="00285602">
              <w:rPr>
                <w:rFonts w:asciiTheme="minorHAnsi" w:eastAsiaTheme="minorEastAsia" w:hAnsiTheme="minorHAnsi" w:cstheme="minorBidi"/>
                <w:noProof/>
                <w:sz w:val="19"/>
                <w:szCs w:val="19"/>
                <w:lang w:val="es-ES" w:eastAsia="es-ES_tradnl"/>
              </w:rPr>
              <w:tab/>
            </w:r>
            <w:r w:rsidR="00285602" w:rsidRPr="00285602">
              <w:rPr>
                <w:rStyle w:val="Hipervnculo"/>
                <w:noProof/>
                <w:sz w:val="19"/>
                <w:szCs w:val="19"/>
                <w:lang w:val="es-ES"/>
              </w:rPr>
              <w:t xml:space="preserve"> Consideraciones de la Corte</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_Toc43216166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30</w:t>
            </w:r>
            <w:r w:rsidR="00285602" w:rsidRPr="00285602">
              <w:rPr>
                <w:noProof/>
                <w:webHidden/>
                <w:sz w:val="19"/>
                <w:szCs w:val="19"/>
              </w:rPr>
              <w:fldChar w:fldCharType="end"/>
            </w:r>
          </w:hyperlink>
        </w:p>
        <w:p w14:paraId="58DD62F6" w14:textId="348701B8" w:rsidR="00285602" w:rsidRPr="00285602" w:rsidRDefault="009E306B" w:rsidP="00900D77">
          <w:pPr>
            <w:pStyle w:val="TDC1"/>
            <w:rPr>
              <w:rFonts w:asciiTheme="minorHAnsi" w:eastAsiaTheme="minorEastAsia" w:hAnsiTheme="minorHAnsi" w:cstheme="minorBidi"/>
              <w:noProof/>
              <w:lang w:eastAsia="es-ES_tradnl"/>
            </w:rPr>
          </w:pPr>
          <w:hyperlink w:anchor="_Toc43216167" w:history="1">
            <w:r w:rsidR="00285602" w:rsidRPr="00285602">
              <w:rPr>
                <w:rStyle w:val="Hipervnculo"/>
                <w:noProof/>
              </w:rPr>
              <w:t>VII REPARACIONES</w:t>
            </w:r>
            <w:r w:rsidR="00285602" w:rsidRPr="00285602">
              <w:rPr>
                <w:noProof/>
                <w:webHidden/>
              </w:rPr>
              <w:tab/>
            </w:r>
            <w:r w:rsidR="00285602" w:rsidRPr="00285602">
              <w:rPr>
                <w:noProof/>
                <w:webHidden/>
              </w:rPr>
              <w:fldChar w:fldCharType="begin"/>
            </w:r>
            <w:r w:rsidR="00285602" w:rsidRPr="00285602">
              <w:rPr>
                <w:noProof/>
                <w:webHidden/>
              </w:rPr>
              <w:instrText xml:space="preserve"> PAGEREF _Toc43216167 \h </w:instrText>
            </w:r>
            <w:r w:rsidR="00285602" w:rsidRPr="00285602">
              <w:rPr>
                <w:noProof/>
                <w:webHidden/>
              </w:rPr>
            </w:r>
            <w:r w:rsidR="00285602" w:rsidRPr="00285602">
              <w:rPr>
                <w:noProof/>
                <w:webHidden/>
              </w:rPr>
              <w:fldChar w:fldCharType="separate"/>
            </w:r>
            <w:r w:rsidR="00537C44">
              <w:rPr>
                <w:noProof/>
                <w:webHidden/>
              </w:rPr>
              <w:t>30</w:t>
            </w:r>
            <w:r w:rsidR="00285602" w:rsidRPr="00285602">
              <w:rPr>
                <w:noProof/>
                <w:webHidden/>
              </w:rPr>
              <w:fldChar w:fldCharType="end"/>
            </w:r>
          </w:hyperlink>
        </w:p>
        <w:p w14:paraId="402A6F1A" w14:textId="76959CA4" w:rsidR="00285602" w:rsidRPr="00285602" w:rsidRDefault="009E306B">
          <w:pPr>
            <w:pStyle w:val="TDC2"/>
            <w:rPr>
              <w:rFonts w:asciiTheme="minorHAnsi" w:eastAsiaTheme="minorEastAsia" w:hAnsiTheme="minorHAnsi" w:cstheme="minorBidi"/>
              <w:noProof/>
              <w:sz w:val="19"/>
              <w:szCs w:val="19"/>
              <w:lang w:val="es-ES" w:eastAsia="es-ES_tradnl"/>
            </w:rPr>
          </w:pPr>
          <w:hyperlink w:anchor="_Toc43216168" w:history="1">
            <w:r w:rsidR="00285602" w:rsidRPr="00285602">
              <w:rPr>
                <w:rStyle w:val="Hipervnculo"/>
                <w:noProof/>
                <w:sz w:val="19"/>
                <w:szCs w:val="19"/>
                <w:lang w:val="es-ES"/>
              </w:rPr>
              <w:t>A. Parte lesionada</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_Toc43216168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31</w:t>
            </w:r>
            <w:r w:rsidR="00285602" w:rsidRPr="00285602">
              <w:rPr>
                <w:noProof/>
                <w:webHidden/>
                <w:sz w:val="19"/>
                <w:szCs w:val="19"/>
              </w:rPr>
              <w:fldChar w:fldCharType="end"/>
            </w:r>
          </w:hyperlink>
        </w:p>
        <w:p w14:paraId="36F51C53" w14:textId="536E47BC" w:rsidR="00285602" w:rsidRPr="00285602" w:rsidRDefault="009E306B">
          <w:pPr>
            <w:pStyle w:val="TDC2"/>
            <w:rPr>
              <w:rFonts w:asciiTheme="minorHAnsi" w:eastAsiaTheme="minorEastAsia" w:hAnsiTheme="minorHAnsi" w:cstheme="minorBidi"/>
              <w:noProof/>
              <w:sz w:val="19"/>
              <w:szCs w:val="19"/>
              <w:lang w:val="es-ES" w:eastAsia="es-ES_tradnl"/>
            </w:rPr>
          </w:pPr>
          <w:hyperlink w:anchor="_Toc43216169" w:history="1">
            <w:r w:rsidR="00285602" w:rsidRPr="00285602">
              <w:rPr>
                <w:rStyle w:val="Hipervnculo"/>
                <w:noProof/>
                <w:sz w:val="19"/>
                <w:szCs w:val="19"/>
                <w:lang w:val="es-ES"/>
              </w:rPr>
              <w:t>B. Investigación, determinación, enjuiciamiento y, en su caso, sanción de todos los responsables</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_Toc43216169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31</w:t>
            </w:r>
            <w:r w:rsidR="00285602" w:rsidRPr="00285602">
              <w:rPr>
                <w:noProof/>
                <w:webHidden/>
                <w:sz w:val="19"/>
                <w:szCs w:val="19"/>
              </w:rPr>
              <w:fldChar w:fldCharType="end"/>
            </w:r>
          </w:hyperlink>
        </w:p>
        <w:p w14:paraId="744C7ADC" w14:textId="111B493B" w:rsidR="00285602" w:rsidRPr="00285602" w:rsidRDefault="009E306B">
          <w:pPr>
            <w:pStyle w:val="TDC2"/>
            <w:rPr>
              <w:rFonts w:asciiTheme="minorHAnsi" w:eastAsiaTheme="minorEastAsia" w:hAnsiTheme="minorHAnsi" w:cstheme="minorBidi"/>
              <w:noProof/>
              <w:sz w:val="19"/>
              <w:szCs w:val="19"/>
              <w:lang w:val="es-ES" w:eastAsia="es-ES_tradnl"/>
            </w:rPr>
          </w:pPr>
          <w:hyperlink w:anchor="_Toc43216170" w:history="1">
            <w:r w:rsidR="00285602" w:rsidRPr="00285602">
              <w:rPr>
                <w:rStyle w:val="Hipervnculo"/>
                <w:noProof/>
                <w:sz w:val="19"/>
                <w:szCs w:val="19"/>
                <w:lang w:val="es-ES"/>
              </w:rPr>
              <w:t>C. Rehabilitación</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_Toc43216170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32</w:t>
            </w:r>
            <w:r w:rsidR="00285602" w:rsidRPr="00285602">
              <w:rPr>
                <w:noProof/>
                <w:webHidden/>
                <w:sz w:val="19"/>
                <w:szCs w:val="19"/>
              </w:rPr>
              <w:fldChar w:fldCharType="end"/>
            </w:r>
          </w:hyperlink>
        </w:p>
        <w:p w14:paraId="35123A8A" w14:textId="7F2B990B" w:rsidR="00285602" w:rsidRPr="00285602" w:rsidRDefault="009E306B">
          <w:pPr>
            <w:pStyle w:val="TDC2"/>
            <w:rPr>
              <w:rFonts w:asciiTheme="minorHAnsi" w:eastAsiaTheme="minorEastAsia" w:hAnsiTheme="minorHAnsi" w:cstheme="minorBidi"/>
              <w:noProof/>
              <w:sz w:val="19"/>
              <w:szCs w:val="19"/>
              <w:lang w:val="es-ES" w:eastAsia="es-ES_tradnl"/>
            </w:rPr>
          </w:pPr>
          <w:hyperlink w:anchor="_Toc43216171" w:history="1">
            <w:r w:rsidR="00285602" w:rsidRPr="00285602">
              <w:rPr>
                <w:rStyle w:val="Hipervnculo"/>
                <w:noProof/>
                <w:sz w:val="19"/>
                <w:szCs w:val="19"/>
                <w:lang w:val="es-ES"/>
              </w:rPr>
              <w:t>D. Medidas de satisfacción</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_Toc43216171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32</w:t>
            </w:r>
            <w:r w:rsidR="00285602" w:rsidRPr="00285602">
              <w:rPr>
                <w:noProof/>
                <w:webHidden/>
                <w:sz w:val="19"/>
                <w:szCs w:val="19"/>
              </w:rPr>
              <w:fldChar w:fldCharType="end"/>
            </w:r>
          </w:hyperlink>
        </w:p>
        <w:p w14:paraId="175C9A46" w14:textId="08B5A7B4" w:rsidR="00285602" w:rsidRPr="00285602" w:rsidRDefault="009E306B">
          <w:pPr>
            <w:pStyle w:val="TDC2"/>
            <w:rPr>
              <w:rFonts w:asciiTheme="minorHAnsi" w:eastAsiaTheme="minorEastAsia" w:hAnsiTheme="minorHAnsi" w:cstheme="minorBidi"/>
              <w:noProof/>
              <w:sz w:val="19"/>
              <w:szCs w:val="19"/>
              <w:lang w:val="es-ES" w:eastAsia="es-ES_tradnl"/>
            </w:rPr>
          </w:pPr>
          <w:hyperlink w:anchor="_Toc43216172" w:history="1">
            <w:r w:rsidR="00285602" w:rsidRPr="00285602">
              <w:rPr>
                <w:rStyle w:val="Hipervnculo"/>
                <w:noProof/>
                <w:sz w:val="19"/>
                <w:szCs w:val="19"/>
                <w:lang w:val="es-ES"/>
              </w:rPr>
              <w:t xml:space="preserve"> Garantías de no repetición</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_Toc43216172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33</w:t>
            </w:r>
            <w:r w:rsidR="00285602" w:rsidRPr="00285602">
              <w:rPr>
                <w:noProof/>
                <w:webHidden/>
                <w:sz w:val="19"/>
                <w:szCs w:val="19"/>
              </w:rPr>
              <w:fldChar w:fldCharType="end"/>
            </w:r>
          </w:hyperlink>
        </w:p>
        <w:p w14:paraId="5697369C" w14:textId="671E8068" w:rsidR="00285602" w:rsidRPr="00285602" w:rsidRDefault="009E306B">
          <w:pPr>
            <w:pStyle w:val="TDC2"/>
            <w:rPr>
              <w:rFonts w:asciiTheme="minorHAnsi" w:eastAsiaTheme="minorEastAsia" w:hAnsiTheme="minorHAnsi" w:cstheme="minorBidi"/>
              <w:noProof/>
              <w:sz w:val="19"/>
              <w:szCs w:val="19"/>
              <w:lang w:val="es-ES" w:eastAsia="es-ES_tradnl"/>
            </w:rPr>
          </w:pPr>
          <w:hyperlink w:anchor="_Toc43216173" w:history="1">
            <w:r w:rsidR="00285602" w:rsidRPr="00285602">
              <w:rPr>
                <w:rStyle w:val="Hipervnculo"/>
                <w:noProof/>
                <w:sz w:val="19"/>
                <w:szCs w:val="19"/>
                <w:lang w:val="es-ES"/>
              </w:rPr>
              <w:t>F. Indemnizaciones compensatorias</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_Toc43216173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33</w:t>
            </w:r>
            <w:r w:rsidR="00285602" w:rsidRPr="00285602">
              <w:rPr>
                <w:noProof/>
                <w:webHidden/>
                <w:sz w:val="19"/>
                <w:szCs w:val="19"/>
              </w:rPr>
              <w:fldChar w:fldCharType="end"/>
            </w:r>
          </w:hyperlink>
        </w:p>
        <w:p w14:paraId="0216EDF2" w14:textId="791821A7" w:rsidR="00285602" w:rsidRPr="00285602" w:rsidRDefault="009E306B">
          <w:pPr>
            <w:pStyle w:val="TDC3"/>
            <w:rPr>
              <w:rFonts w:asciiTheme="minorHAnsi" w:eastAsiaTheme="minorEastAsia" w:hAnsiTheme="minorHAnsi" w:cstheme="minorBidi"/>
              <w:noProof/>
              <w:sz w:val="19"/>
              <w:szCs w:val="19"/>
              <w:lang w:val="es-ES" w:eastAsia="es-ES_tradnl"/>
            </w:rPr>
          </w:pPr>
          <w:hyperlink w:anchor="_Toc43216174" w:history="1">
            <w:r w:rsidR="00285602" w:rsidRPr="00285602">
              <w:rPr>
                <w:rStyle w:val="Hipervnculo"/>
                <w:noProof/>
                <w:sz w:val="19"/>
                <w:szCs w:val="19"/>
                <w:lang w:val="es-ES"/>
              </w:rPr>
              <w:t>f.1</w:t>
            </w:r>
            <w:r w:rsidR="00285602" w:rsidRPr="00285602">
              <w:rPr>
                <w:rFonts w:asciiTheme="minorHAnsi" w:eastAsiaTheme="minorEastAsia" w:hAnsiTheme="minorHAnsi" w:cstheme="minorBidi"/>
                <w:noProof/>
                <w:sz w:val="19"/>
                <w:szCs w:val="19"/>
                <w:lang w:val="es-ES" w:eastAsia="es-ES_tradnl"/>
              </w:rPr>
              <w:tab/>
            </w:r>
            <w:r w:rsidR="00285602" w:rsidRPr="00285602">
              <w:rPr>
                <w:rStyle w:val="Hipervnculo"/>
                <w:noProof/>
                <w:sz w:val="19"/>
                <w:szCs w:val="19"/>
                <w:lang w:val="es-ES"/>
              </w:rPr>
              <w:t>Daño material</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_Toc43216174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33</w:t>
            </w:r>
            <w:r w:rsidR="00285602" w:rsidRPr="00285602">
              <w:rPr>
                <w:noProof/>
                <w:webHidden/>
                <w:sz w:val="19"/>
                <w:szCs w:val="19"/>
              </w:rPr>
              <w:fldChar w:fldCharType="end"/>
            </w:r>
          </w:hyperlink>
        </w:p>
        <w:p w14:paraId="44B30646" w14:textId="74749A98" w:rsidR="00285602" w:rsidRPr="00285602" w:rsidRDefault="009E306B">
          <w:pPr>
            <w:pStyle w:val="TDC3"/>
            <w:rPr>
              <w:rFonts w:asciiTheme="minorHAnsi" w:eastAsiaTheme="minorEastAsia" w:hAnsiTheme="minorHAnsi" w:cstheme="minorBidi"/>
              <w:noProof/>
              <w:sz w:val="19"/>
              <w:szCs w:val="19"/>
              <w:lang w:val="es-ES" w:eastAsia="es-ES_tradnl"/>
            </w:rPr>
          </w:pPr>
          <w:hyperlink w:anchor="_Toc43216175" w:history="1">
            <w:r w:rsidR="00285602" w:rsidRPr="00285602">
              <w:rPr>
                <w:rStyle w:val="Hipervnculo"/>
                <w:noProof/>
                <w:sz w:val="19"/>
                <w:szCs w:val="19"/>
                <w:lang w:val="es-ES"/>
              </w:rPr>
              <w:t>f.2</w:t>
            </w:r>
            <w:r w:rsidR="00285602" w:rsidRPr="00285602">
              <w:rPr>
                <w:rFonts w:asciiTheme="minorHAnsi" w:eastAsiaTheme="minorEastAsia" w:hAnsiTheme="minorHAnsi" w:cstheme="minorBidi"/>
                <w:noProof/>
                <w:sz w:val="19"/>
                <w:szCs w:val="19"/>
                <w:lang w:val="es-ES" w:eastAsia="es-ES_tradnl"/>
              </w:rPr>
              <w:tab/>
            </w:r>
            <w:r w:rsidR="00285602" w:rsidRPr="00285602">
              <w:rPr>
                <w:rStyle w:val="Hipervnculo"/>
                <w:noProof/>
                <w:sz w:val="19"/>
                <w:szCs w:val="19"/>
                <w:lang w:val="es-ES"/>
              </w:rPr>
              <w:t>Daño inmaterial</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_Toc43216175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34</w:t>
            </w:r>
            <w:r w:rsidR="00285602" w:rsidRPr="00285602">
              <w:rPr>
                <w:noProof/>
                <w:webHidden/>
                <w:sz w:val="19"/>
                <w:szCs w:val="19"/>
              </w:rPr>
              <w:fldChar w:fldCharType="end"/>
            </w:r>
          </w:hyperlink>
        </w:p>
        <w:p w14:paraId="23048F77" w14:textId="3FAC14B1" w:rsidR="00285602" w:rsidRPr="00285602" w:rsidRDefault="009E306B">
          <w:pPr>
            <w:pStyle w:val="TDC2"/>
            <w:rPr>
              <w:rFonts w:asciiTheme="minorHAnsi" w:eastAsiaTheme="minorEastAsia" w:hAnsiTheme="minorHAnsi" w:cstheme="minorBidi"/>
              <w:noProof/>
              <w:sz w:val="19"/>
              <w:szCs w:val="19"/>
              <w:lang w:val="es-ES" w:eastAsia="es-ES_tradnl"/>
            </w:rPr>
          </w:pPr>
          <w:hyperlink w:anchor="_Toc43216176" w:history="1">
            <w:r w:rsidR="00285602" w:rsidRPr="00285602">
              <w:rPr>
                <w:rStyle w:val="Hipervnculo"/>
                <w:noProof/>
                <w:sz w:val="19"/>
                <w:szCs w:val="19"/>
                <w:lang w:val="es-ES"/>
              </w:rPr>
              <w:t>H. Costas y gastos</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_Toc43216176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35</w:t>
            </w:r>
            <w:r w:rsidR="00285602" w:rsidRPr="00285602">
              <w:rPr>
                <w:noProof/>
                <w:webHidden/>
                <w:sz w:val="19"/>
                <w:szCs w:val="19"/>
              </w:rPr>
              <w:fldChar w:fldCharType="end"/>
            </w:r>
          </w:hyperlink>
        </w:p>
        <w:p w14:paraId="01007F28" w14:textId="6E2B62E3" w:rsidR="00285602" w:rsidRPr="00285602" w:rsidRDefault="009E306B">
          <w:pPr>
            <w:pStyle w:val="TDC2"/>
            <w:rPr>
              <w:rFonts w:asciiTheme="minorHAnsi" w:eastAsiaTheme="minorEastAsia" w:hAnsiTheme="minorHAnsi" w:cstheme="minorBidi"/>
              <w:noProof/>
              <w:sz w:val="19"/>
              <w:szCs w:val="19"/>
              <w:lang w:val="es-ES" w:eastAsia="es-ES_tradnl"/>
            </w:rPr>
          </w:pPr>
          <w:hyperlink w:anchor="_Toc43216177" w:history="1">
            <w:r w:rsidR="00285602" w:rsidRPr="00285602">
              <w:rPr>
                <w:rStyle w:val="Hipervnculo"/>
                <w:noProof/>
                <w:sz w:val="19"/>
                <w:szCs w:val="19"/>
                <w:lang w:val="es-ES"/>
              </w:rPr>
              <w:t>I. Reintegro de los gastos al Fondo de Asistencia Legal de Víctimas de la Corte Interamericana</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_Toc43216177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35</w:t>
            </w:r>
            <w:r w:rsidR="00285602" w:rsidRPr="00285602">
              <w:rPr>
                <w:noProof/>
                <w:webHidden/>
                <w:sz w:val="19"/>
                <w:szCs w:val="19"/>
              </w:rPr>
              <w:fldChar w:fldCharType="end"/>
            </w:r>
          </w:hyperlink>
        </w:p>
        <w:p w14:paraId="0B1ADA7B" w14:textId="4D8C2BD4" w:rsidR="00285602" w:rsidRPr="00285602" w:rsidRDefault="009E306B">
          <w:pPr>
            <w:pStyle w:val="TDC2"/>
            <w:rPr>
              <w:rFonts w:asciiTheme="minorHAnsi" w:eastAsiaTheme="minorEastAsia" w:hAnsiTheme="minorHAnsi" w:cstheme="minorBidi"/>
              <w:noProof/>
              <w:sz w:val="19"/>
              <w:szCs w:val="19"/>
              <w:lang w:val="es-ES" w:eastAsia="es-ES_tradnl"/>
            </w:rPr>
          </w:pPr>
          <w:hyperlink w:anchor="_Toc43216178" w:history="1">
            <w:r w:rsidR="00285602" w:rsidRPr="00285602">
              <w:rPr>
                <w:rStyle w:val="Hipervnculo"/>
                <w:noProof/>
                <w:sz w:val="19"/>
                <w:szCs w:val="19"/>
                <w:lang w:val="es-ES"/>
              </w:rPr>
              <w:t>J. Modalidad de cumplimiento de los pagos ordenados</w:t>
            </w:r>
            <w:r w:rsidR="00285602" w:rsidRPr="00285602">
              <w:rPr>
                <w:noProof/>
                <w:webHidden/>
                <w:sz w:val="19"/>
                <w:szCs w:val="19"/>
              </w:rPr>
              <w:tab/>
            </w:r>
            <w:r w:rsidR="00285602" w:rsidRPr="00285602">
              <w:rPr>
                <w:noProof/>
                <w:webHidden/>
                <w:sz w:val="19"/>
                <w:szCs w:val="19"/>
              </w:rPr>
              <w:fldChar w:fldCharType="begin"/>
            </w:r>
            <w:r w:rsidR="00285602" w:rsidRPr="00285602">
              <w:rPr>
                <w:noProof/>
                <w:webHidden/>
                <w:sz w:val="19"/>
                <w:szCs w:val="19"/>
              </w:rPr>
              <w:instrText xml:space="preserve"> PAGEREF _Toc43216178 \h </w:instrText>
            </w:r>
            <w:r w:rsidR="00285602" w:rsidRPr="00285602">
              <w:rPr>
                <w:noProof/>
                <w:webHidden/>
                <w:sz w:val="19"/>
                <w:szCs w:val="19"/>
              </w:rPr>
            </w:r>
            <w:r w:rsidR="00285602" w:rsidRPr="00285602">
              <w:rPr>
                <w:noProof/>
                <w:webHidden/>
                <w:sz w:val="19"/>
                <w:szCs w:val="19"/>
              </w:rPr>
              <w:fldChar w:fldCharType="separate"/>
            </w:r>
            <w:r w:rsidR="00537C44">
              <w:rPr>
                <w:noProof/>
                <w:webHidden/>
                <w:sz w:val="19"/>
                <w:szCs w:val="19"/>
              </w:rPr>
              <w:t>36</w:t>
            </w:r>
            <w:r w:rsidR="00285602" w:rsidRPr="00285602">
              <w:rPr>
                <w:noProof/>
                <w:webHidden/>
                <w:sz w:val="19"/>
                <w:szCs w:val="19"/>
              </w:rPr>
              <w:fldChar w:fldCharType="end"/>
            </w:r>
          </w:hyperlink>
        </w:p>
        <w:p w14:paraId="203C55F6" w14:textId="1C88024D" w:rsidR="00285602" w:rsidRPr="00285602" w:rsidRDefault="009E306B" w:rsidP="00900D77">
          <w:pPr>
            <w:pStyle w:val="TDC1"/>
            <w:rPr>
              <w:rFonts w:asciiTheme="minorHAnsi" w:eastAsiaTheme="minorEastAsia" w:hAnsiTheme="minorHAnsi" w:cstheme="minorBidi"/>
              <w:noProof/>
              <w:lang w:eastAsia="es-ES_tradnl"/>
            </w:rPr>
          </w:pPr>
          <w:hyperlink w:anchor="_Toc43216179" w:history="1">
            <w:r w:rsidR="00285602" w:rsidRPr="00285602">
              <w:rPr>
                <w:rStyle w:val="Hipervnculo"/>
                <w:noProof/>
              </w:rPr>
              <w:t>VIII PUNTOS RESOLUTIVOS</w:t>
            </w:r>
            <w:r w:rsidR="00285602" w:rsidRPr="00285602">
              <w:rPr>
                <w:noProof/>
                <w:webHidden/>
              </w:rPr>
              <w:tab/>
            </w:r>
            <w:r w:rsidR="00285602" w:rsidRPr="00285602">
              <w:rPr>
                <w:noProof/>
                <w:webHidden/>
              </w:rPr>
              <w:fldChar w:fldCharType="begin"/>
            </w:r>
            <w:r w:rsidR="00285602" w:rsidRPr="00285602">
              <w:rPr>
                <w:noProof/>
                <w:webHidden/>
              </w:rPr>
              <w:instrText xml:space="preserve"> PAGEREF _Toc43216179 \h </w:instrText>
            </w:r>
            <w:r w:rsidR="00285602" w:rsidRPr="00285602">
              <w:rPr>
                <w:noProof/>
                <w:webHidden/>
              </w:rPr>
            </w:r>
            <w:r w:rsidR="00285602" w:rsidRPr="00285602">
              <w:rPr>
                <w:noProof/>
                <w:webHidden/>
              </w:rPr>
              <w:fldChar w:fldCharType="separate"/>
            </w:r>
            <w:r w:rsidR="00537C44">
              <w:rPr>
                <w:noProof/>
                <w:webHidden/>
              </w:rPr>
              <w:t>37</w:t>
            </w:r>
            <w:r w:rsidR="00285602" w:rsidRPr="00285602">
              <w:rPr>
                <w:noProof/>
                <w:webHidden/>
              </w:rPr>
              <w:fldChar w:fldCharType="end"/>
            </w:r>
          </w:hyperlink>
        </w:p>
        <w:p w14:paraId="0D479082" w14:textId="45BA82F7" w:rsidR="00616A72" w:rsidRPr="00F955EE" w:rsidRDefault="00616A72" w:rsidP="00D213E1">
          <w:pPr>
            <w:tabs>
              <w:tab w:val="left" w:pos="993"/>
            </w:tabs>
            <w:rPr>
              <w:lang w:val="es-ES"/>
            </w:rPr>
          </w:pPr>
          <w:r w:rsidRPr="002D14B0">
            <w:rPr>
              <w:b/>
              <w:bCs/>
              <w:noProof/>
              <w:sz w:val="19"/>
              <w:szCs w:val="19"/>
              <w:lang w:val="es-ES"/>
            </w:rPr>
            <w:fldChar w:fldCharType="end"/>
          </w:r>
        </w:p>
      </w:sdtContent>
    </w:sdt>
    <w:p w14:paraId="52DD7457" w14:textId="5541EDFB" w:rsidR="00935AEC" w:rsidRPr="00F955EE" w:rsidRDefault="00616A72" w:rsidP="008E0797">
      <w:pPr>
        <w:pStyle w:val="Ttulo1"/>
        <w:rPr>
          <w:lang w:val="es-ES"/>
        </w:rPr>
      </w:pPr>
      <w:bookmarkStart w:id="5" w:name="_Toc43216141"/>
      <w:r w:rsidRPr="00F955EE">
        <w:rPr>
          <w:lang w:val="es-ES"/>
        </w:rPr>
        <w:t>I</w:t>
      </w:r>
      <w:r w:rsidRPr="00F955EE">
        <w:rPr>
          <w:lang w:val="es-ES"/>
        </w:rPr>
        <w:br/>
        <w:t>INTRODUCCIÓN DE LA CAUSA Y OBJETO DE LA CONTROVERSIA</w:t>
      </w:r>
      <w:bookmarkEnd w:id="5"/>
    </w:p>
    <w:p w14:paraId="6EDC14AE" w14:textId="15ACF2EE" w:rsidR="00616A72" w:rsidRPr="00F955EE" w:rsidRDefault="00616A72" w:rsidP="004F0770">
      <w:pPr>
        <w:numPr>
          <w:ilvl w:val="0"/>
          <w:numId w:val="4"/>
        </w:numPr>
        <w:tabs>
          <w:tab w:val="left" w:pos="567"/>
          <w:tab w:val="num" w:pos="1569"/>
          <w:tab w:val="num" w:pos="12305"/>
        </w:tabs>
        <w:ind w:left="0" w:firstLine="0"/>
        <w:rPr>
          <w:lang w:val="es-ES"/>
        </w:rPr>
      </w:pPr>
      <w:r w:rsidRPr="00F955EE">
        <w:rPr>
          <w:i/>
          <w:lang w:val="es-ES"/>
        </w:rPr>
        <w:t xml:space="preserve">El caso sometido a la Corte. </w:t>
      </w:r>
      <w:r w:rsidRPr="00F955EE">
        <w:rPr>
          <w:lang w:val="es-ES"/>
        </w:rPr>
        <w:t xml:space="preserve">– El 24 de abril de 2019 la Comisión Interamericana de </w:t>
      </w:r>
      <w:r w:rsidRPr="00F955EE">
        <w:rPr>
          <w:iCs/>
          <w:lang w:val="es-ES"/>
        </w:rPr>
        <w:t>Derechos</w:t>
      </w:r>
      <w:r w:rsidRPr="00F955EE">
        <w:rPr>
          <w:lang w:val="es-ES"/>
        </w:rPr>
        <w:t xml:space="preserve"> Humanos (en adelante “la Comisión Interamericana” o “la Comisión”) sometió a la jurisdicción de la Corte Interamericana el caso “Pedro Bacil</w:t>
      </w:r>
      <w:r w:rsidR="00367B7A">
        <w:rPr>
          <w:lang w:val="es-ES"/>
        </w:rPr>
        <w:t>i</w:t>
      </w:r>
      <w:r w:rsidRPr="00F955EE">
        <w:rPr>
          <w:lang w:val="es-ES"/>
        </w:rPr>
        <w:t xml:space="preserve">o Roche Azaña y otro” contra la República de Nicaragua (en adelante “el Estado de Nicaragua”, “el Estado nicaragüense”, “el Estado” o “Nicaragua”). De acuerdo con lo indicado por la Comisión, el caso se relaciona con la supuesta ejecución extrajudicial de Pedro Bacilio Roche Azaña y las heridas causadas a su hermano, Patricio </w:t>
      </w:r>
      <w:r w:rsidR="00CA349D" w:rsidRPr="00F955EE">
        <w:rPr>
          <w:lang w:val="es-ES"/>
        </w:rPr>
        <w:t xml:space="preserve">Fernando </w:t>
      </w:r>
      <w:r w:rsidRPr="00F955EE">
        <w:rPr>
          <w:lang w:val="es-ES"/>
        </w:rPr>
        <w:t xml:space="preserve">Roche Azaña, el 14 de abril de 1996, como consecuencia de disparos proferidos por </w:t>
      </w:r>
      <w:r w:rsidR="00367B7A">
        <w:rPr>
          <w:lang w:val="es-ES"/>
        </w:rPr>
        <w:t>agentes estatales</w:t>
      </w:r>
      <w:r w:rsidRPr="00F955EE">
        <w:rPr>
          <w:lang w:val="es-ES"/>
        </w:rPr>
        <w:t xml:space="preserve"> contra el vehículo en el que se transportaban y </w:t>
      </w:r>
      <w:r w:rsidR="00D66D43">
        <w:rPr>
          <w:lang w:val="es-ES"/>
        </w:rPr>
        <w:t>a</w:t>
      </w:r>
      <w:r w:rsidR="00BD0C03">
        <w:rPr>
          <w:lang w:val="es-ES"/>
        </w:rPr>
        <w:t xml:space="preserve"> </w:t>
      </w:r>
      <w:r w:rsidR="00D66D43">
        <w:rPr>
          <w:lang w:val="es-ES"/>
        </w:rPr>
        <w:t xml:space="preserve">bordo </w:t>
      </w:r>
      <w:r w:rsidRPr="00F955EE">
        <w:rPr>
          <w:lang w:val="es-ES"/>
        </w:rPr>
        <w:t xml:space="preserve">del cual pasaron dos controles migratorios, </w:t>
      </w:r>
      <w:r w:rsidR="00BE4C1F" w:rsidRPr="00F955EE">
        <w:rPr>
          <w:lang w:val="es-ES"/>
        </w:rPr>
        <w:t>presuntamente</w:t>
      </w:r>
      <w:r w:rsidRPr="00F955EE">
        <w:rPr>
          <w:lang w:val="es-ES"/>
        </w:rPr>
        <w:t xml:space="preserve"> sin atender la voz de alto. En consecuencia, concluyó que el uso de la fuera letal fue arbitrario, contrario a </w:t>
      </w:r>
      <w:r w:rsidR="00367B7A">
        <w:rPr>
          <w:lang w:val="es-ES"/>
        </w:rPr>
        <w:t>los</w:t>
      </w:r>
      <w:r w:rsidRPr="00F955EE">
        <w:rPr>
          <w:lang w:val="es-ES"/>
        </w:rPr>
        <w:t xml:space="preserve"> principios</w:t>
      </w:r>
      <w:r w:rsidR="00367B7A">
        <w:rPr>
          <w:lang w:val="es-ES"/>
        </w:rPr>
        <w:t xml:space="preserve"> de legalidad, absoluta necesidad y proporcionalidad</w:t>
      </w:r>
      <w:r w:rsidRPr="00F955EE">
        <w:rPr>
          <w:lang w:val="es-ES"/>
        </w:rPr>
        <w:t xml:space="preserve"> y violó </w:t>
      </w:r>
      <w:r w:rsidR="00197A72" w:rsidRPr="00F955EE">
        <w:rPr>
          <w:lang w:val="es-ES"/>
        </w:rPr>
        <w:t>los derechos</w:t>
      </w:r>
      <w:r w:rsidRPr="00F955EE">
        <w:rPr>
          <w:lang w:val="es-ES"/>
        </w:rPr>
        <w:t xml:space="preserve"> a la vida e integridad personal de las presuntas víctimas. Asimismo,</w:t>
      </w:r>
      <w:r w:rsidRPr="00F955EE">
        <w:rPr>
          <w:b/>
          <w:bCs/>
          <w:lang w:val="es-ES"/>
        </w:rPr>
        <w:t xml:space="preserve"> </w:t>
      </w:r>
      <w:r w:rsidRPr="00F955EE">
        <w:rPr>
          <w:lang w:val="es-ES"/>
        </w:rPr>
        <w:t>el caso se relaciona con la presunta violación del derecho a las garantías judiciales y protección judicial</w:t>
      </w:r>
      <w:r w:rsidR="006E26E8" w:rsidRPr="00F955EE">
        <w:rPr>
          <w:lang w:val="es-ES"/>
        </w:rPr>
        <w:t xml:space="preserve"> en perjuicio de Patricio Fernando Roche Azaña y sus padres</w:t>
      </w:r>
      <w:r w:rsidRPr="00F955EE">
        <w:rPr>
          <w:lang w:val="es-ES"/>
        </w:rPr>
        <w:t>. Específicamente, la Comisión determinó tales violaciones por (i</w:t>
      </w:r>
      <w:r w:rsidR="008209D4" w:rsidRPr="00F955EE">
        <w:rPr>
          <w:lang w:val="es-ES"/>
        </w:rPr>
        <w:t xml:space="preserve">) por la alegada falta de participación de Patricio Roche Azaña en </w:t>
      </w:r>
      <w:r w:rsidR="00367B7A">
        <w:rPr>
          <w:lang w:val="es-ES"/>
        </w:rPr>
        <w:t>el</w:t>
      </w:r>
      <w:r w:rsidR="008209D4" w:rsidRPr="00F955EE">
        <w:rPr>
          <w:lang w:val="es-ES"/>
        </w:rPr>
        <w:t xml:space="preserve"> proceso</w:t>
      </w:r>
      <w:r w:rsidR="00367B7A">
        <w:rPr>
          <w:lang w:val="es-ES"/>
        </w:rPr>
        <w:t xml:space="preserve"> penal seguido contra los presuntos autores de los disparos</w:t>
      </w:r>
      <w:r w:rsidR="008209D4" w:rsidRPr="00F955EE">
        <w:rPr>
          <w:lang w:val="es-ES"/>
        </w:rPr>
        <w:t>, (ii) por</w:t>
      </w:r>
      <w:r w:rsidRPr="00F955EE">
        <w:rPr>
          <w:lang w:val="es-ES"/>
        </w:rPr>
        <w:t xml:space="preserve"> la falta de motivación del veredicto </w:t>
      </w:r>
      <w:r w:rsidR="00197A72" w:rsidRPr="00F955EE">
        <w:rPr>
          <w:lang w:val="es-ES"/>
        </w:rPr>
        <w:t xml:space="preserve">emitido </w:t>
      </w:r>
      <w:r w:rsidRPr="00F955EE">
        <w:rPr>
          <w:lang w:val="es-ES"/>
        </w:rPr>
        <w:t>por</w:t>
      </w:r>
      <w:r w:rsidR="00197A72" w:rsidRPr="00F955EE">
        <w:rPr>
          <w:lang w:val="es-ES"/>
        </w:rPr>
        <w:t xml:space="preserve"> un</w:t>
      </w:r>
      <w:r w:rsidRPr="00F955EE">
        <w:rPr>
          <w:lang w:val="es-ES"/>
        </w:rPr>
        <w:t xml:space="preserve"> jurado mediante el cual se declaró la inocencia de </w:t>
      </w:r>
      <w:r w:rsidR="00367B7A">
        <w:rPr>
          <w:lang w:val="es-ES"/>
        </w:rPr>
        <w:t>las personas procesadas</w:t>
      </w:r>
      <w:r w:rsidRPr="00F955EE">
        <w:rPr>
          <w:lang w:val="es-ES"/>
        </w:rPr>
        <w:t>,</w:t>
      </w:r>
      <w:r w:rsidR="008209D4" w:rsidRPr="00F955EE">
        <w:rPr>
          <w:lang w:val="es-ES"/>
        </w:rPr>
        <w:t xml:space="preserve"> así como </w:t>
      </w:r>
      <w:r w:rsidRPr="00F955EE">
        <w:rPr>
          <w:lang w:val="es-ES"/>
        </w:rPr>
        <w:t>(ii</w:t>
      </w:r>
      <w:r w:rsidR="008209D4" w:rsidRPr="00F955EE">
        <w:rPr>
          <w:lang w:val="es-ES"/>
        </w:rPr>
        <w:t>i</w:t>
      </w:r>
      <w:r w:rsidRPr="00F955EE">
        <w:rPr>
          <w:lang w:val="es-ES"/>
        </w:rPr>
        <w:t>) por la imposibilidad legal de apelar dicho veredicto.</w:t>
      </w:r>
    </w:p>
    <w:p w14:paraId="10E403C9" w14:textId="77777777" w:rsidR="00D81D4E" w:rsidRPr="00F955EE" w:rsidRDefault="00D81D4E" w:rsidP="00616A72">
      <w:pPr>
        <w:pStyle w:val="Prrafodelista"/>
        <w:ind w:left="0"/>
        <w:rPr>
          <w:lang w:val="es-ES"/>
        </w:rPr>
      </w:pPr>
    </w:p>
    <w:p w14:paraId="36AA8F84" w14:textId="77777777" w:rsidR="00616A72" w:rsidRPr="00F955EE" w:rsidRDefault="00616A72" w:rsidP="004F0770">
      <w:pPr>
        <w:numPr>
          <w:ilvl w:val="0"/>
          <w:numId w:val="4"/>
        </w:numPr>
        <w:tabs>
          <w:tab w:val="left" w:pos="567"/>
          <w:tab w:val="num" w:pos="1569"/>
          <w:tab w:val="num" w:pos="12305"/>
        </w:tabs>
        <w:ind w:left="0" w:firstLine="0"/>
        <w:rPr>
          <w:lang w:val="es-ES"/>
        </w:rPr>
      </w:pPr>
      <w:bookmarkStart w:id="6" w:name="_Ref15466599"/>
      <w:r w:rsidRPr="00F955EE">
        <w:rPr>
          <w:i/>
          <w:lang w:val="es-ES"/>
        </w:rPr>
        <w:t>Trámite ante la Comisión.</w:t>
      </w:r>
      <w:r w:rsidRPr="00F955EE">
        <w:rPr>
          <w:lang w:val="es-ES"/>
        </w:rPr>
        <w:t xml:space="preserve"> – El trámite ante la Comisión fue el siguiente:</w:t>
      </w:r>
      <w:bookmarkEnd w:id="6"/>
    </w:p>
    <w:p w14:paraId="48507D31" w14:textId="77777777" w:rsidR="00616A72" w:rsidRPr="00F955EE" w:rsidRDefault="00616A72" w:rsidP="00616A72">
      <w:pPr>
        <w:pStyle w:val="Prrafodelista"/>
        <w:rPr>
          <w:lang w:val="es-ES"/>
        </w:rPr>
      </w:pPr>
    </w:p>
    <w:p w14:paraId="52DF8A28" w14:textId="26F055E0" w:rsidR="00616A72" w:rsidRPr="00F955EE" w:rsidRDefault="00616A72" w:rsidP="004F0770">
      <w:pPr>
        <w:pStyle w:val="Prrafodelista"/>
        <w:widowControl/>
        <w:numPr>
          <w:ilvl w:val="0"/>
          <w:numId w:val="6"/>
        </w:numPr>
        <w:adjustRightInd/>
        <w:textAlignment w:val="auto"/>
        <w:rPr>
          <w:lang w:val="es-ES"/>
        </w:rPr>
      </w:pPr>
      <w:r w:rsidRPr="00F955EE">
        <w:rPr>
          <w:i/>
          <w:lang w:val="es-ES"/>
        </w:rPr>
        <w:t xml:space="preserve">Petición. </w:t>
      </w:r>
      <w:r w:rsidRPr="00F955EE">
        <w:rPr>
          <w:lang w:val="es-ES"/>
        </w:rPr>
        <w:t xml:space="preserve">– El 23 de diciembre de 1998, el representante </w:t>
      </w:r>
      <w:r w:rsidR="00D66D43">
        <w:rPr>
          <w:lang w:val="es-ES"/>
        </w:rPr>
        <w:t xml:space="preserve">de las presuntas víctimas </w:t>
      </w:r>
      <w:r w:rsidRPr="00F955EE">
        <w:rPr>
          <w:lang w:val="es-ES"/>
        </w:rPr>
        <w:t>presentó la petición inicial ante la Comisión.</w:t>
      </w:r>
      <w:r w:rsidRPr="00F955EE">
        <w:rPr>
          <w:b/>
          <w:lang w:val="es-ES"/>
        </w:rPr>
        <w:t xml:space="preserve"> </w:t>
      </w:r>
    </w:p>
    <w:p w14:paraId="64C3F3B3" w14:textId="77777777" w:rsidR="00616A72" w:rsidRPr="00F955EE" w:rsidRDefault="00616A72" w:rsidP="00616A72">
      <w:pPr>
        <w:widowControl/>
        <w:adjustRightInd/>
        <w:textAlignment w:val="auto"/>
        <w:rPr>
          <w:highlight w:val="yellow"/>
          <w:lang w:val="es-ES"/>
        </w:rPr>
      </w:pPr>
    </w:p>
    <w:p w14:paraId="4C690BB1" w14:textId="0BB7BC33" w:rsidR="00616A72" w:rsidRPr="00F955EE" w:rsidRDefault="00616A72" w:rsidP="004F0770">
      <w:pPr>
        <w:pStyle w:val="Prrafodelista"/>
        <w:widowControl/>
        <w:numPr>
          <w:ilvl w:val="0"/>
          <w:numId w:val="6"/>
        </w:numPr>
        <w:adjustRightInd/>
        <w:textAlignment w:val="auto"/>
        <w:rPr>
          <w:lang w:val="es-ES"/>
        </w:rPr>
      </w:pPr>
      <w:r w:rsidRPr="00F955EE">
        <w:rPr>
          <w:i/>
          <w:lang w:val="es-ES"/>
        </w:rPr>
        <w:t>Informe de admisibilidad.</w:t>
      </w:r>
      <w:r w:rsidRPr="00F955EE">
        <w:rPr>
          <w:lang w:val="es-ES"/>
        </w:rPr>
        <w:t xml:space="preserve"> </w:t>
      </w:r>
      <w:r w:rsidR="009B1A98" w:rsidRPr="00F955EE">
        <w:rPr>
          <w:lang w:val="es-ES"/>
        </w:rPr>
        <w:t>–</w:t>
      </w:r>
      <w:r w:rsidRPr="00F955EE">
        <w:rPr>
          <w:lang w:val="es-ES"/>
        </w:rPr>
        <w:t xml:space="preserve"> El 7 de agosto de 2009 la Comisión aprobó el Informe de Admisibilidad No. 88/09, en el que concluyó que la petición era admisible</w:t>
      </w:r>
      <w:r w:rsidRPr="00F955EE">
        <w:rPr>
          <w:rStyle w:val="Refdenotaalpie"/>
          <w:lang w:val="es-ES"/>
        </w:rPr>
        <w:footnoteReference w:id="1"/>
      </w:r>
      <w:r w:rsidRPr="00F955EE">
        <w:rPr>
          <w:lang w:val="es-ES"/>
        </w:rPr>
        <w:t xml:space="preserve">. </w:t>
      </w:r>
    </w:p>
    <w:p w14:paraId="74F27431" w14:textId="77777777" w:rsidR="00616A72" w:rsidRPr="00F955EE" w:rsidRDefault="00616A72" w:rsidP="00616A72">
      <w:pPr>
        <w:rPr>
          <w:lang w:val="es-ES"/>
        </w:rPr>
      </w:pPr>
    </w:p>
    <w:p w14:paraId="1460756A" w14:textId="22BBB889" w:rsidR="00616A72" w:rsidRPr="00F955EE" w:rsidRDefault="00616A72" w:rsidP="004F0770">
      <w:pPr>
        <w:pStyle w:val="Prrafodelista"/>
        <w:widowControl/>
        <w:numPr>
          <w:ilvl w:val="0"/>
          <w:numId w:val="6"/>
        </w:numPr>
        <w:adjustRightInd/>
        <w:textAlignment w:val="auto"/>
        <w:rPr>
          <w:lang w:val="es-ES"/>
        </w:rPr>
      </w:pPr>
      <w:r w:rsidRPr="00F955EE">
        <w:rPr>
          <w:i/>
          <w:lang w:val="es-ES"/>
        </w:rPr>
        <w:t>Informe de Fondo.</w:t>
      </w:r>
      <w:r w:rsidRPr="00F955EE">
        <w:rPr>
          <w:lang w:val="es-ES"/>
        </w:rPr>
        <w:t xml:space="preserve"> – El 5 de octubre de 2018 la Comisión aprobó el Informe de Fondo No. 114/18, de conformidad con el artículo 50 de la Convención (en adelante también “el Informe de Fondo” o “el Informe No. 114/8”), en el cual llegó a una serie de conclusiones</w:t>
      </w:r>
      <w:r w:rsidRPr="00F955EE">
        <w:rPr>
          <w:rStyle w:val="Refdenotaalpie"/>
          <w:lang w:val="es-ES"/>
        </w:rPr>
        <w:footnoteReference w:id="2"/>
      </w:r>
      <w:r w:rsidRPr="00F955EE">
        <w:rPr>
          <w:lang w:val="es-ES"/>
        </w:rPr>
        <w:t>, y formuló varias recomendaciones al Estado</w:t>
      </w:r>
      <w:r w:rsidRPr="00F955EE">
        <w:rPr>
          <w:rStyle w:val="Refdenotaalpie"/>
          <w:lang w:val="es-ES"/>
        </w:rPr>
        <w:t>.</w:t>
      </w:r>
      <w:r w:rsidRPr="00F955EE">
        <w:rPr>
          <w:lang w:val="es-ES"/>
        </w:rPr>
        <w:t xml:space="preserve"> </w:t>
      </w:r>
    </w:p>
    <w:p w14:paraId="53850F7D" w14:textId="77777777" w:rsidR="00616A72" w:rsidRPr="00F955EE" w:rsidRDefault="00616A72" w:rsidP="00616A72">
      <w:pPr>
        <w:pStyle w:val="Prrafodelista"/>
        <w:widowControl/>
        <w:adjustRightInd/>
        <w:ind w:left="720"/>
        <w:textAlignment w:val="auto"/>
        <w:rPr>
          <w:lang w:val="es-ES"/>
        </w:rPr>
      </w:pPr>
    </w:p>
    <w:p w14:paraId="32B02027" w14:textId="5D980F1C" w:rsidR="00616A72" w:rsidRPr="00F955EE" w:rsidRDefault="00616A72" w:rsidP="004F0770">
      <w:pPr>
        <w:widowControl/>
        <w:numPr>
          <w:ilvl w:val="0"/>
          <w:numId w:val="6"/>
        </w:numPr>
        <w:tabs>
          <w:tab w:val="left" w:pos="567"/>
          <w:tab w:val="num" w:pos="1569"/>
          <w:tab w:val="num" w:pos="12305"/>
        </w:tabs>
        <w:adjustRightInd/>
        <w:textAlignment w:val="auto"/>
        <w:rPr>
          <w:lang w:val="es-ES"/>
        </w:rPr>
      </w:pPr>
      <w:r w:rsidRPr="00F955EE">
        <w:rPr>
          <w:i/>
          <w:lang w:val="es-ES"/>
        </w:rPr>
        <w:t>Notificación al Estado.</w:t>
      </w:r>
      <w:r w:rsidRPr="00F955EE">
        <w:rPr>
          <w:lang w:val="es-ES"/>
        </w:rPr>
        <w:t xml:space="preserve"> – El Informe de Fondo fue notificado al Estado el 24 de enero de 2019. El Estado nicaragüense no presentó una respuesta en el plazo indicado por la Comisión. </w:t>
      </w:r>
    </w:p>
    <w:p w14:paraId="29CE47AB" w14:textId="77777777" w:rsidR="00616A72" w:rsidRPr="00F955EE" w:rsidRDefault="00616A72" w:rsidP="00616A72">
      <w:pPr>
        <w:pStyle w:val="Prrafodelista"/>
        <w:rPr>
          <w:highlight w:val="yellow"/>
          <w:lang w:val="es-ES"/>
        </w:rPr>
      </w:pPr>
    </w:p>
    <w:p w14:paraId="69A03A3E" w14:textId="77777777" w:rsidR="00616A72" w:rsidRPr="00F955EE" w:rsidRDefault="00616A72" w:rsidP="004F0770">
      <w:pPr>
        <w:numPr>
          <w:ilvl w:val="0"/>
          <w:numId w:val="4"/>
        </w:numPr>
        <w:tabs>
          <w:tab w:val="left" w:pos="567"/>
          <w:tab w:val="num" w:pos="1569"/>
          <w:tab w:val="num" w:pos="12305"/>
        </w:tabs>
        <w:ind w:left="0" w:firstLine="0"/>
        <w:rPr>
          <w:lang w:val="es-ES"/>
        </w:rPr>
      </w:pPr>
      <w:r w:rsidRPr="00F955EE">
        <w:rPr>
          <w:i/>
          <w:lang w:val="es-ES"/>
        </w:rPr>
        <w:t>Sometimiento a la Corte.</w:t>
      </w:r>
      <w:r w:rsidRPr="00F955EE">
        <w:rPr>
          <w:lang w:val="es-ES"/>
        </w:rPr>
        <w:t xml:space="preserve"> – El 24 de abril de 2019 la Comisión sometió a la jurisdicción de la Corte Interamericana la totalidad de los hechos y violaciones de derechos humanos descritos en el informe de fondo “ante la necesidad de obtención de justicia y reparación”</w:t>
      </w:r>
      <w:r w:rsidRPr="00F955EE">
        <w:rPr>
          <w:rStyle w:val="Refdenotaalpie"/>
          <w:lang w:val="es-ES"/>
        </w:rPr>
        <w:footnoteReference w:id="3"/>
      </w:r>
      <w:r w:rsidRPr="00F955EE">
        <w:rPr>
          <w:lang w:val="es-ES"/>
        </w:rPr>
        <w:t>.</w:t>
      </w:r>
    </w:p>
    <w:p w14:paraId="42E75588" w14:textId="77777777" w:rsidR="00616A72" w:rsidRPr="00F955EE" w:rsidRDefault="00616A72" w:rsidP="00616A72">
      <w:pPr>
        <w:tabs>
          <w:tab w:val="left" w:pos="567"/>
        </w:tabs>
        <w:rPr>
          <w:lang w:val="es-ES"/>
        </w:rPr>
      </w:pPr>
    </w:p>
    <w:p w14:paraId="3FC929A8" w14:textId="1EE1F3EC" w:rsidR="00616A72" w:rsidRPr="00F955EE" w:rsidRDefault="00616A72" w:rsidP="004F0770">
      <w:pPr>
        <w:numPr>
          <w:ilvl w:val="0"/>
          <w:numId w:val="4"/>
        </w:numPr>
        <w:tabs>
          <w:tab w:val="left" w:pos="567"/>
          <w:tab w:val="num" w:pos="1569"/>
          <w:tab w:val="num" w:pos="12305"/>
        </w:tabs>
        <w:ind w:left="0" w:firstLine="0"/>
        <w:rPr>
          <w:lang w:val="es-ES"/>
        </w:rPr>
      </w:pPr>
      <w:r w:rsidRPr="00F955EE">
        <w:rPr>
          <w:i/>
          <w:lang w:val="es-ES"/>
        </w:rPr>
        <w:t xml:space="preserve">Solicitudes de la Comisión Interamericana. </w:t>
      </w:r>
      <w:r w:rsidRPr="00F955EE">
        <w:rPr>
          <w:lang w:val="es-ES"/>
        </w:rPr>
        <w:t xml:space="preserve">– Con base en lo anterior, la Comisión solicitó a la Corte </w:t>
      </w:r>
      <w:r w:rsidR="00900D77">
        <w:rPr>
          <w:lang w:val="es-ES"/>
        </w:rPr>
        <w:t xml:space="preserve">Interamericana </w:t>
      </w:r>
      <w:r w:rsidRPr="00F955EE">
        <w:rPr>
          <w:lang w:val="es-ES"/>
        </w:rPr>
        <w:t>que declarara la responsabilidad internacional del Estado por las mismas violaciones señaladas en su Informe de Fondo (</w:t>
      </w:r>
      <w:r w:rsidRPr="00F955EE">
        <w:rPr>
          <w:i/>
          <w:lang w:val="es-ES"/>
        </w:rPr>
        <w:t xml:space="preserve">supra </w:t>
      </w:r>
      <w:r w:rsidRPr="00F955EE">
        <w:rPr>
          <w:lang w:val="es-ES"/>
        </w:rPr>
        <w:t xml:space="preserve">párr. 2.c). Asimismo, la Comisión solicitó a la Corte que ordenara al Estado medidas de reparación, las cuales se detallan y analizan en el Capítulo </w:t>
      </w:r>
      <w:r w:rsidR="003B7F2A" w:rsidRPr="00F955EE">
        <w:rPr>
          <w:lang w:val="es-ES"/>
        </w:rPr>
        <w:t>VII</w:t>
      </w:r>
      <w:r w:rsidRPr="00F955EE">
        <w:rPr>
          <w:lang w:val="es-ES"/>
        </w:rPr>
        <w:t xml:space="preserve"> de la presente Sentencia.</w:t>
      </w:r>
      <w:r w:rsidR="008E330C" w:rsidRPr="00F955EE">
        <w:t xml:space="preserve"> </w:t>
      </w:r>
      <w:r w:rsidR="008E330C" w:rsidRPr="00F955EE">
        <w:rPr>
          <w:lang w:val="es-ES"/>
        </w:rPr>
        <w:t>Este Tribunal nota</w:t>
      </w:r>
      <w:r w:rsidR="00FC7D0E">
        <w:rPr>
          <w:lang w:val="es-ES"/>
        </w:rPr>
        <w:t xml:space="preserve"> </w:t>
      </w:r>
      <w:r w:rsidR="00FC7D0E" w:rsidRPr="00EE1EB0">
        <w:rPr>
          <w:lang w:val="es-ES"/>
        </w:rPr>
        <w:t>con preocupación</w:t>
      </w:r>
      <w:r w:rsidR="008E330C" w:rsidRPr="00EE1EB0">
        <w:rPr>
          <w:lang w:val="es-ES"/>
        </w:rPr>
        <w:t xml:space="preserve"> </w:t>
      </w:r>
      <w:r w:rsidR="008E330C" w:rsidRPr="00F955EE">
        <w:rPr>
          <w:lang w:val="es-ES"/>
        </w:rPr>
        <w:t>que, entre la presentación de la petición inicial ante la Comisión y el sometimiento del caso ante la Corte, han transcurrido más de veinte años.</w:t>
      </w:r>
    </w:p>
    <w:p w14:paraId="234FF769" w14:textId="77777777" w:rsidR="00616A72" w:rsidRPr="00F955EE" w:rsidRDefault="00616A72" w:rsidP="00616A72">
      <w:pPr>
        <w:pStyle w:val="Ttulo1"/>
        <w:rPr>
          <w:lang w:val="es-ES"/>
        </w:rPr>
      </w:pPr>
      <w:bookmarkStart w:id="7" w:name="_Toc43216142"/>
      <w:r w:rsidRPr="00F955EE">
        <w:rPr>
          <w:lang w:val="es-ES"/>
        </w:rPr>
        <w:t>II</w:t>
      </w:r>
      <w:r w:rsidRPr="00F955EE">
        <w:rPr>
          <w:lang w:val="es-ES"/>
        </w:rPr>
        <w:br/>
        <w:t>PROCEDIMIENTO ANTE LA CORTE</w:t>
      </w:r>
      <w:bookmarkEnd w:id="7"/>
    </w:p>
    <w:p w14:paraId="4DD347C4" w14:textId="2B481D9F" w:rsidR="00616A72" w:rsidRPr="00F955EE" w:rsidRDefault="00616A72" w:rsidP="004F0770">
      <w:pPr>
        <w:numPr>
          <w:ilvl w:val="0"/>
          <w:numId w:val="4"/>
        </w:numPr>
        <w:tabs>
          <w:tab w:val="left" w:pos="567"/>
          <w:tab w:val="num" w:pos="1569"/>
          <w:tab w:val="num" w:pos="12305"/>
        </w:tabs>
        <w:ind w:left="0" w:firstLine="0"/>
        <w:rPr>
          <w:lang w:val="es-ES"/>
        </w:rPr>
      </w:pPr>
      <w:r w:rsidRPr="00F955EE">
        <w:rPr>
          <w:i/>
          <w:lang w:val="es-ES"/>
        </w:rPr>
        <w:t>Notificación a</w:t>
      </w:r>
      <w:r w:rsidR="009B1A98" w:rsidRPr="00F955EE">
        <w:rPr>
          <w:i/>
          <w:lang w:val="es-ES"/>
        </w:rPr>
        <w:t xml:space="preserve">l </w:t>
      </w:r>
      <w:r w:rsidRPr="00F955EE">
        <w:rPr>
          <w:i/>
          <w:lang w:val="es-ES"/>
        </w:rPr>
        <w:t xml:space="preserve">representante y al Estado. </w:t>
      </w:r>
      <w:r w:rsidRPr="00F955EE">
        <w:rPr>
          <w:lang w:val="es-ES"/>
        </w:rPr>
        <w:t>– El sometimiento del caso por parte de la Comisión fue notificado por la Corte al representante de las presuntas víctimas</w:t>
      </w:r>
      <w:r w:rsidRPr="00F955EE">
        <w:rPr>
          <w:rStyle w:val="Refdenotaalpie"/>
          <w:lang w:val="es-ES"/>
        </w:rPr>
        <w:footnoteReference w:id="4"/>
      </w:r>
      <w:r w:rsidRPr="00F955EE">
        <w:rPr>
          <w:lang w:val="es-ES"/>
        </w:rPr>
        <w:t xml:space="preserve"> (en adelante “el representante”) y al Estado el 12 de junio de 2019.</w:t>
      </w:r>
      <w:r w:rsidRPr="00F955EE">
        <w:rPr>
          <w:b/>
          <w:lang w:val="es-ES"/>
        </w:rPr>
        <w:t xml:space="preserve"> </w:t>
      </w:r>
      <w:bookmarkStart w:id="8" w:name="para7"/>
    </w:p>
    <w:p w14:paraId="3D751520" w14:textId="77777777" w:rsidR="00616A72" w:rsidRPr="00F955EE" w:rsidRDefault="00616A72" w:rsidP="00616A72">
      <w:pPr>
        <w:tabs>
          <w:tab w:val="left" w:pos="567"/>
        </w:tabs>
        <w:rPr>
          <w:lang w:val="es-ES"/>
        </w:rPr>
      </w:pPr>
    </w:p>
    <w:p w14:paraId="4FB84E2E" w14:textId="6ECB2664" w:rsidR="00616A72" w:rsidRPr="00F955EE" w:rsidRDefault="00616A72" w:rsidP="004F0770">
      <w:pPr>
        <w:numPr>
          <w:ilvl w:val="0"/>
          <w:numId w:val="4"/>
        </w:numPr>
        <w:tabs>
          <w:tab w:val="left" w:pos="567"/>
          <w:tab w:val="num" w:pos="1569"/>
          <w:tab w:val="num" w:pos="12305"/>
        </w:tabs>
        <w:ind w:left="0" w:firstLine="0"/>
        <w:rPr>
          <w:lang w:val="es-ES"/>
        </w:rPr>
      </w:pPr>
      <w:r w:rsidRPr="00F955EE">
        <w:rPr>
          <w:i/>
          <w:lang w:val="es-ES"/>
        </w:rPr>
        <w:t>Escrito de solicitudes, argumentos y pruebas.</w:t>
      </w:r>
      <w:r w:rsidRPr="00F955EE">
        <w:rPr>
          <w:lang w:val="es-ES"/>
        </w:rPr>
        <w:t xml:space="preserve"> – El 9 de agosto de 201</w:t>
      </w:r>
      <w:r w:rsidR="00C358DA">
        <w:rPr>
          <w:lang w:val="es-ES"/>
        </w:rPr>
        <w:t>9</w:t>
      </w:r>
      <w:r w:rsidRPr="00F955EE">
        <w:rPr>
          <w:lang w:val="es-ES"/>
        </w:rPr>
        <w:t xml:space="preserve"> el representante presentó ante la Corte su escrito de solicitudes, argumentos y pruebas (en adelante “escrito de solicitudes y argumentos” o “ESAP”). El representante coincidió sustancialmente con los alegatos de la Comisión y solicitó a la Corte que declarara la responsabilidad internacional del Estado por la violación de los mismos artículos alegados por la Comisión y, adicionalmente, la violación de los artículos 22.1, 22.4 y XVII de la Declaración Americana de </w:t>
      </w:r>
      <w:r w:rsidR="006D2231">
        <w:rPr>
          <w:lang w:val="es-ES"/>
        </w:rPr>
        <w:t xml:space="preserve">los </w:t>
      </w:r>
      <w:r w:rsidRPr="00F955EE">
        <w:rPr>
          <w:lang w:val="es-ES"/>
        </w:rPr>
        <w:t>Derechos</w:t>
      </w:r>
      <w:r w:rsidR="006D2231">
        <w:rPr>
          <w:lang w:val="es-ES"/>
        </w:rPr>
        <w:t xml:space="preserve"> y Deberes del Hombre</w:t>
      </w:r>
      <w:r w:rsidRPr="00F955EE">
        <w:rPr>
          <w:lang w:val="es-ES"/>
        </w:rPr>
        <w:t xml:space="preserve"> en relación con el artículo 24 de la Convención Americana en perjuicio de Patricio Fernando Roche Azaña y Pedro Bacilio Roche Azaña. Asimismo, las presuntas víctimas solicitaron, a través de su representante, acogerse al Fondo de Asistencia Legal de Víctimas de la Corte Interamericana (en adelante “Fondo de Asistencia de la Corte” o el “Fondo”)</w:t>
      </w:r>
      <w:bookmarkEnd w:id="8"/>
      <w:r w:rsidR="00EE1EB0">
        <w:rPr>
          <w:lang w:val="es-ES"/>
        </w:rPr>
        <w:t>.</w:t>
      </w:r>
    </w:p>
    <w:p w14:paraId="6C9C2794" w14:textId="77777777" w:rsidR="00616A72" w:rsidRPr="00F955EE" w:rsidRDefault="00616A72" w:rsidP="00616A72">
      <w:pPr>
        <w:tabs>
          <w:tab w:val="left" w:pos="567"/>
          <w:tab w:val="num" w:pos="12305"/>
        </w:tabs>
        <w:rPr>
          <w:highlight w:val="yellow"/>
          <w:lang w:val="es-ES"/>
        </w:rPr>
      </w:pPr>
    </w:p>
    <w:p w14:paraId="3DA7560C" w14:textId="3429DB6D" w:rsidR="00616A72" w:rsidRPr="00F955EE" w:rsidRDefault="00616A72" w:rsidP="004F0770">
      <w:pPr>
        <w:numPr>
          <w:ilvl w:val="0"/>
          <w:numId w:val="4"/>
        </w:numPr>
        <w:tabs>
          <w:tab w:val="left" w:pos="567"/>
          <w:tab w:val="num" w:pos="1569"/>
          <w:tab w:val="num" w:pos="12305"/>
        </w:tabs>
        <w:ind w:left="0" w:firstLine="0"/>
        <w:rPr>
          <w:lang w:val="es-ES"/>
        </w:rPr>
      </w:pPr>
      <w:r w:rsidRPr="00F955EE">
        <w:rPr>
          <w:i/>
          <w:lang w:val="es-ES"/>
        </w:rPr>
        <w:t>Escrito de contestación.</w:t>
      </w:r>
      <w:r w:rsidRPr="00F955EE">
        <w:rPr>
          <w:lang w:val="es-ES"/>
        </w:rPr>
        <w:t xml:space="preserve"> </w:t>
      </w:r>
      <w:r w:rsidRPr="00F955EE">
        <w:rPr>
          <w:i/>
          <w:lang w:val="es-ES"/>
        </w:rPr>
        <w:t xml:space="preserve">– </w:t>
      </w:r>
      <w:r w:rsidRPr="00F955EE">
        <w:rPr>
          <w:lang w:val="es-ES"/>
        </w:rPr>
        <w:t xml:space="preserve">El 11 de octubre de 2019 el Estado presentó ante la Corte su escrito de contestación al sometimiento e informe de fondo de la Comisión Interamericana y al escrito de solicitudes, argumentos y pruebas del representante (en adelante “escrito de contestación”). En dicho escrito, el Estado se opuso a las violaciones alegadas y a las medidas de reparación </w:t>
      </w:r>
      <w:r w:rsidR="00F97B23" w:rsidRPr="00F955EE">
        <w:rPr>
          <w:lang w:val="es-ES"/>
        </w:rPr>
        <w:t xml:space="preserve">propuestas </w:t>
      </w:r>
      <w:r w:rsidRPr="00F955EE">
        <w:rPr>
          <w:lang w:val="es-ES"/>
        </w:rPr>
        <w:t>por la Comisión.</w:t>
      </w:r>
      <w:r w:rsidRPr="00F955EE">
        <w:rPr>
          <w:b/>
          <w:lang w:val="es-ES"/>
        </w:rPr>
        <w:t xml:space="preserve"> </w:t>
      </w:r>
    </w:p>
    <w:p w14:paraId="3BBB8089" w14:textId="77777777" w:rsidR="00616A72" w:rsidRPr="00F955EE" w:rsidRDefault="00616A72" w:rsidP="00616A72">
      <w:pPr>
        <w:tabs>
          <w:tab w:val="left" w:pos="567"/>
        </w:tabs>
        <w:rPr>
          <w:b/>
          <w:lang w:val="es-ES"/>
        </w:rPr>
      </w:pPr>
    </w:p>
    <w:p w14:paraId="233EE9C7" w14:textId="205B13E6" w:rsidR="00616A72" w:rsidRPr="00F955EE" w:rsidRDefault="00616A72" w:rsidP="004F0770">
      <w:pPr>
        <w:numPr>
          <w:ilvl w:val="0"/>
          <w:numId w:val="4"/>
        </w:numPr>
        <w:tabs>
          <w:tab w:val="left" w:pos="567"/>
          <w:tab w:val="num" w:pos="1569"/>
          <w:tab w:val="num" w:pos="12305"/>
        </w:tabs>
        <w:ind w:left="0" w:firstLine="0"/>
        <w:rPr>
          <w:lang w:val="es-ES"/>
        </w:rPr>
      </w:pPr>
      <w:r w:rsidRPr="00F955EE">
        <w:rPr>
          <w:i/>
          <w:lang w:val="es-ES"/>
        </w:rPr>
        <w:t xml:space="preserve">Audiencia Pública. </w:t>
      </w:r>
      <w:r w:rsidRPr="00F955EE">
        <w:rPr>
          <w:lang w:val="es-ES"/>
        </w:rPr>
        <w:t>– Mediante Resolución de 6 de diciembre de 2019</w:t>
      </w:r>
      <w:r w:rsidRPr="00F955EE">
        <w:rPr>
          <w:rStyle w:val="Refdenotaalpie"/>
          <w:lang w:val="es-ES"/>
        </w:rPr>
        <w:footnoteReference w:id="5"/>
      </w:r>
      <w:r w:rsidRPr="00F955EE">
        <w:rPr>
          <w:lang w:val="es-ES"/>
        </w:rPr>
        <w:t xml:space="preserve">, </w:t>
      </w:r>
      <w:r w:rsidR="001F53FB" w:rsidRPr="00F955EE">
        <w:rPr>
          <w:lang w:val="es-ES"/>
        </w:rPr>
        <w:t>la Presidencia</w:t>
      </w:r>
      <w:r w:rsidRPr="00F955EE">
        <w:rPr>
          <w:lang w:val="es-ES"/>
        </w:rPr>
        <w:t xml:space="preserve"> convocó al Estado, al representante y a la Comisión Interamericana a una audiencia pública para recibir sus alegatos y observaciones finales orales sobre el fondo y eventuales reparaciones y costas, así como para recibir las declaraciones de dos presuntas víctimas propuestas por el representante, de un perito </w:t>
      </w:r>
      <w:r w:rsidR="001F53FB" w:rsidRPr="00F955EE">
        <w:rPr>
          <w:lang w:val="es-ES"/>
        </w:rPr>
        <w:t>ofrecido</w:t>
      </w:r>
      <w:r w:rsidRPr="00F955EE">
        <w:rPr>
          <w:lang w:val="es-ES"/>
        </w:rPr>
        <w:t xml:space="preserve"> por el representante</w:t>
      </w:r>
      <w:r w:rsidR="009B1A98" w:rsidRPr="00F955EE">
        <w:rPr>
          <w:lang w:val="es-ES"/>
        </w:rPr>
        <w:t xml:space="preserve"> y de </w:t>
      </w:r>
      <w:r w:rsidRPr="00F955EE">
        <w:rPr>
          <w:lang w:val="es-ES"/>
        </w:rPr>
        <w:t>un perito propuesto por la Comisión Interamericana. La audiencia pública fue celebrada el 4 de febrero de 2020, durante el 133° Período Ordinario de Sesiones de la Corte, llevado a cabo en su sede</w:t>
      </w:r>
      <w:r w:rsidRPr="00F955EE">
        <w:rPr>
          <w:rStyle w:val="Refdenotaalpie"/>
          <w:lang w:val="es-ES"/>
        </w:rPr>
        <w:footnoteReference w:id="6"/>
      </w:r>
      <w:r w:rsidRPr="00F955EE">
        <w:rPr>
          <w:lang w:val="es-ES"/>
        </w:rPr>
        <w:t xml:space="preserve">. </w:t>
      </w:r>
    </w:p>
    <w:p w14:paraId="3F9B413F" w14:textId="77777777" w:rsidR="00616A72" w:rsidRPr="00F955EE" w:rsidRDefault="00616A72" w:rsidP="00616A72">
      <w:pPr>
        <w:tabs>
          <w:tab w:val="left" w:pos="567"/>
          <w:tab w:val="num" w:pos="12305"/>
        </w:tabs>
        <w:rPr>
          <w:lang w:val="es-ES"/>
        </w:rPr>
      </w:pPr>
    </w:p>
    <w:p w14:paraId="4222F271" w14:textId="44D3C5EE" w:rsidR="00616A72" w:rsidRPr="00F955EE" w:rsidRDefault="00616A72" w:rsidP="004F0770">
      <w:pPr>
        <w:numPr>
          <w:ilvl w:val="0"/>
          <w:numId w:val="4"/>
        </w:numPr>
        <w:tabs>
          <w:tab w:val="left" w:pos="567"/>
          <w:tab w:val="num" w:pos="1569"/>
          <w:tab w:val="num" w:pos="12305"/>
        </w:tabs>
        <w:ind w:left="0" w:firstLine="0"/>
        <w:rPr>
          <w:lang w:val="es-ES"/>
        </w:rPr>
      </w:pPr>
      <w:r w:rsidRPr="00F955EE">
        <w:rPr>
          <w:i/>
          <w:lang w:val="es-ES"/>
        </w:rPr>
        <w:t xml:space="preserve">Alegatos y observaciones finales escritos. </w:t>
      </w:r>
      <w:r w:rsidRPr="00F955EE">
        <w:rPr>
          <w:lang w:val="es-ES"/>
        </w:rPr>
        <w:t xml:space="preserve">– El </w:t>
      </w:r>
      <w:r w:rsidR="00CD14F3" w:rsidRPr="00F955EE">
        <w:rPr>
          <w:lang w:val="es-ES"/>
        </w:rPr>
        <w:t>4</w:t>
      </w:r>
      <w:r w:rsidRPr="00F955EE">
        <w:rPr>
          <w:lang w:val="es-ES"/>
        </w:rPr>
        <w:t xml:space="preserve"> de marzo de 2020 el representante y el </w:t>
      </w:r>
      <w:r w:rsidRPr="00F955EE">
        <w:rPr>
          <w:lang w:val="es-ES"/>
        </w:rPr>
        <w:lastRenderedPageBreak/>
        <w:t xml:space="preserve">Estado remitieron sus respectivos alegatos finales escritos, y la Comisión presentó sus observaciones finales escritas. </w:t>
      </w:r>
    </w:p>
    <w:p w14:paraId="51BBA9BF" w14:textId="77777777" w:rsidR="00616A72" w:rsidRPr="00F955EE" w:rsidRDefault="00616A72" w:rsidP="00616A72">
      <w:pPr>
        <w:tabs>
          <w:tab w:val="left" w:pos="567"/>
        </w:tabs>
        <w:rPr>
          <w:b/>
          <w:lang w:val="es-ES"/>
        </w:rPr>
      </w:pPr>
    </w:p>
    <w:p w14:paraId="276BF648" w14:textId="56956D9D" w:rsidR="00616A72" w:rsidRPr="00F955EE" w:rsidRDefault="00616A72" w:rsidP="004F0770">
      <w:pPr>
        <w:numPr>
          <w:ilvl w:val="0"/>
          <w:numId w:val="4"/>
        </w:numPr>
        <w:tabs>
          <w:tab w:val="left" w:pos="567"/>
          <w:tab w:val="num" w:pos="1569"/>
          <w:tab w:val="num" w:pos="12305"/>
        </w:tabs>
        <w:ind w:left="0" w:firstLine="0"/>
        <w:rPr>
          <w:lang w:val="es-ES"/>
        </w:rPr>
      </w:pPr>
      <w:r w:rsidRPr="00F955EE">
        <w:rPr>
          <w:i/>
          <w:lang w:val="es-ES"/>
        </w:rPr>
        <w:t xml:space="preserve">Deliberación del presente caso. </w:t>
      </w:r>
      <w:r w:rsidRPr="00F955EE">
        <w:rPr>
          <w:lang w:val="es-ES"/>
        </w:rPr>
        <w:t xml:space="preserve">– La Corte </w:t>
      </w:r>
      <w:r w:rsidR="004D2910">
        <w:rPr>
          <w:lang w:val="es-ES"/>
        </w:rPr>
        <w:t>deliberó</w:t>
      </w:r>
      <w:r w:rsidRPr="00F955EE">
        <w:rPr>
          <w:lang w:val="es-ES"/>
        </w:rPr>
        <w:t xml:space="preserve"> la presente Sentencia</w:t>
      </w:r>
      <w:r w:rsidR="008209D4" w:rsidRPr="00F955EE">
        <w:rPr>
          <w:lang w:val="es-ES"/>
        </w:rPr>
        <w:t>, a través de una sesión virtual</w:t>
      </w:r>
      <w:r w:rsidR="004D2910">
        <w:rPr>
          <w:lang w:val="es-ES"/>
        </w:rPr>
        <w:t>, durante los días 2 y 3 de junio</w:t>
      </w:r>
      <w:r w:rsidR="007F149A">
        <w:rPr>
          <w:lang w:val="es-ES"/>
        </w:rPr>
        <w:t xml:space="preserve"> de 2020</w:t>
      </w:r>
      <w:r w:rsidR="004D2910">
        <w:rPr>
          <w:rStyle w:val="Refdenotaalpie"/>
          <w:lang w:val="es-ES"/>
        </w:rPr>
        <w:footnoteReference w:id="7"/>
      </w:r>
      <w:r w:rsidR="004D2910">
        <w:rPr>
          <w:lang w:val="es-ES"/>
        </w:rPr>
        <w:t>.</w:t>
      </w:r>
    </w:p>
    <w:p w14:paraId="73D3DF3A" w14:textId="77777777" w:rsidR="00616A72" w:rsidRPr="00F955EE" w:rsidRDefault="00616A72" w:rsidP="00616A72">
      <w:pPr>
        <w:pStyle w:val="Ttulo1"/>
        <w:rPr>
          <w:lang w:val="es-ES"/>
        </w:rPr>
      </w:pPr>
      <w:bookmarkStart w:id="9" w:name="_Toc43216143"/>
      <w:r w:rsidRPr="00F955EE">
        <w:rPr>
          <w:lang w:val="es-ES"/>
        </w:rPr>
        <w:t>III</w:t>
      </w:r>
      <w:r w:rsidRPr="00F955EE">
        <w:rPr>
          <w:lang w:val="es-ES"/>
        </w:rPr>
        <w:br/>
        <w:t>COMPETENCIA</w:t>
      </w:r>
      <w:bookmarkEnd w:id="9"/>
    </w:p>
    <w:p w14:paraId="2227A151" w14:textId="77777777" w:rsidR="00616A72" w:rsidRPr="00F955EE" w:rsidRDefault="00616A72" w:rsidP="004F0770">
      <w:pPr>
        <w:numPr>
          <w:ilvl w:val="0"/>
          <w:numId w:val="4"/>
        </w:numPr>
        <w:tabs>
          <w:tab w:val="left" w:pos="567"/>
          <w:tab w:val="num" w:pos="1569"/>
          <w:tab w:val="num" w:pos="12305"/>
        </w:tabs>
        <w:ind w:left="0" w:firstLine="0"/>
        <w:rPr>
          <w:rFonts w:eastAsia="Batang"/>
          <w:lang w:val="es-ES" w:eastAsia="en-US"/>
        </w:rPr>
      </w:pPr>
      <w:r w:rsidRPr="00F955EE">
        <w:rPr>
          <w:rFonts w:eastAsia="Batang"/>
          <w:lang w:val="es-ES" w:eastAsia="en-US"/>
        </w:rPr>
        <w:t xml:space="preserve">La Corte </w:t>
      </w:r>
      <w:r w:rsidRPr="00F955EE">
        <w:rPr>
          <w:lang w:val="es-ES"/>
        </w:rPr>
        <w:t xml:space="preserve">Interamericana es competente para conocer del presente caso, en los términos del artículo 62.3 de la Convención Americana, en razón de que Nicaragua es Estado Parte de dicho instrumento desde el 25 de septiembre de 1979, y reconoció la competencia contenciosa de la Corte el 12 de febrero de 1991. </w:t>
      </w:r>
    </w:p>
    <w:p w14:paraId="656473F8" w14:textId="77777777" w:rsidR="00616A72" w:rsidRPr="00F955EE" w:rsidRDefault="00616A72" w:rsidP="00616A72">
      <w:pPr>
        <w:pStyle w:val="Ttulo1"/>
        <w:rPr>
          <w:lang w:val="es-ES"/>
        </w:rPr>
      </w:pPr>
      <w:bookmarkStart w:id="10" w:name="_Toc375517114"/>
      <w:bookmarkStart w:id="11" w:name="_Toc459158102"/>
      <w:bookmarkStart w:id="12" w:name="_Toc470180046"/>
      <w:bookmarkStart w:id="13" w:name="_Toc514172609"/>
      <w:bookmarkStart w:id="14" w:name="_Toc43216144"/>
      <w:r w:rsidRPr="00F955EE">
        <w:rPr>
          <w:lang w:val="es-ES"/>
        </w:rPr>
        <w:t>IV</w:t>
      </w:r>
      <w:r w:rsidRPr="00F955EE">
        <w:rPr>
          <w:lang w:val="es-ES"/>
        </w:rPr>
        <w:br/>
        <w:t>PRUEBA</w:t>
      </w:r>
      <w:bookmarkEnd w:id="10"/>
      <w:bookmarkEnd w:id="11"/>
      <w:bookmarkEnd w:id="12"/>
      <w:bookmarkEnd w:id="13"/>
      <w:bookmarkEnd w:id="14"/>
    </w:p>
    <w:p w14:paraId="59C1DF3D" w14:textId="77777777" w:rsidR="00616A72" w:rsidRPr="00F955EE" w:rsidRDefault="00616A72" w:rsidP="00616A72">
      <w:pPr>
        <w:pStyle w:val="Ttulo2"/>
        <w:rPr>
          <w:lang w:val="es-ES"/>
        </w:rPr>
      </w:pPr>
      <w:bookmarkStart w:id="15" w:name="_Toc375517115"/>
      <w:bookmarkStart w:id="16" w:name="_Toc459158103"/>
      <w:bookmarkStart w:id="17" w:name="_Toc470180047"/>
      <w:bookmarkStart w:id="18" w:name="_Toc514172610"/>
      <w:bookmarkStart w:id="19" w:name="_Toc43216145"/>
      <w:r w:rsidRPr="00F955EE">
        <w:rPr>
          <w:lang w:val="es-ES"/>
        </w:rPr>
        <w:t>A.</w:t>
      </w:r>
      <w:r w:rsidRPr="00F955EE">
        <w:rPr>
          <w:lang w:val="es-ES"/>
        </w:rPr>
        <w:tab/>
      </w:r>
      <w:bookmarkStart w:id="20" w:name="_Toc375517116"/>
      <w:bookmarkStart w:id="21" w:name="_Toc459158104"/>
      <w:bookmarkStart w:id="22" w:name="_Toc470180048"/>
      <w:bookmarkStart w:id="23" w:name="_Toc514172611"/>
      <w:bookmarkEnd w:id="15"/>
      <w:bookmarkEnd w:id="16"/>
      <w:bookmarkEnd w:id="17"/>
      <w:bookmarkEnd w:id="18"/>
      <w:r w:rsidRPr="00F955EE">
        <w:rPr>
          <w:lang w:val="es-ES"/>
        </w:rPr>
        <w:t>Admisibilidad de la prueba</w:t>
      </w:r>
      <w:bookmarkEnd w:id="20"/>
      <w:bookmarkEnd w:id="21"/>
      <w:bookmarkEnd w:id="22"/>
      <w:bookmarkEnd w:id="23"/>
      <w:r w:rsidRPr="00F955EE">
        <w:rPr>
          <w:lang w:val="es-ES"/>
        </w:rPr>
        <w:t xml:space="preserve"> documental</w:t>
      </w:r>
      <w:bookmarkEnd w:id="19"/>
    </w:p>
    <w:p w14:paraId="7D9E0172" w14:textId="7BF660FF" w:rsidR="00616A72" w:rsidRPr="00F955EE" w:rsidRDefault="00616A72" w:rsidP="004F0770">
      <w:pPr>
        <w:widowControl/>
        <w:numPr>
          <w:ilvl w:val="0"/>
          <w:numId w:val="4"/>
        </w:numPr>
        <w:tabs>
          <w:tab w:val="left" w:pos="567"/>
          <w:tab w:val="num" w:pos="1569"/>
          <w:tab w:val="num" w:pos="12305"/>
        </w:tabs>
        <w:autoSpaceDE w:val="0"/>
        <w:autoSpaceDN w:val="0"/>
        <w:adjustRightInd/>
        <w:ind w:left="0" w:right="-90" w:firstLine="0"/>
        <w:textAlignment w:val="auto"/>
        <w:rPr>
          <w:rFonts w:eastAsia="Calibri"/>
          <w:lang w:val="es-ES"/>
        </w:rPr>
      </w:pPr>
      <w:r w:rsidRPr="00F955EE">
        <w:rPr>
          <w:rFonts w:eastAsia="Calibri"/>
          <w:lang w:val="es-ES"/>
        </w:rPr>
        <w:t xml:space="preserve">El Tribunal recibió diversos documentos presentados como prueba por la Comisión, el representante y el Estado, los cuales, como en otros casos, </w:t>
      </w:r>
      <w:r w:rsidR="00CA349D" w:rsidRPr="00F955EE">
        <w:rPr>
          <w:rFonts w:eastAsia="Calibri"/>
          <w:lang w:val="es-ES"/>
        </w:rPr>
        <w:t xml:space="preserve">se </w:t>
      </w:r>
      <w:r w:rsidRPr="00F955EE">
        <w:rPr>
          <w:rFonts w:eastAsia="Calibri"/>
          <w:lang w:val="es-ES"/>
        </w:rPr>
        <w:t>admite</w:t>
      </w:r>
      <w:r w:rsidR="00CA349D" w:rsidRPr="00F955EE">
        <w:rPr>
          <w:rFonts w:eastAsia="Calibri"/>
          <w:lang w:val="es-ES"/>
        </w:rPr>
        <w:t>n</w:t>
      </w:r>
      <w:r w:rsidRPr="00F955EE">
        <w:rPr>
          <w:rFonts w:eastAsia="Calibri"/>
          <w:lang w:val="es-ES"/>
        </w:rPr>
        <w:t xml:space="preserve"> en el entendido </w:t>
      </w:r>
      <w:r w:rsidR="00CA349D" w:rsidRPr="00F955EE">
        <w:rPr>
          <w:rFonts w:eastAsia="Calibri"/>
          <w:lang w:val="es-ES"/>
        </w:rPr>
        <w:t xml:space="preserve">de </w:t>
      </w:r>
      <w:r w:rsidRPr="00F955EE">
        <w:rPr>
          <w:rFonts w:eastAsia="Calibri"/>
          <w:lang w:val="es-ES"/>
        </w:rPr>
        <w:t>que fueron presentados en la debida oportunidad procesal (artículo 57 del Reglamento)</w:t>
      </w:r>
      <w:r w:rsidRPr="00F955EE">
        <w:rPr>
          <w:rFonts w:eastAsia="Calibri"/>
          <w:vertAlign w:val="superscript"/>
          <w:lang w:val="es-ES"/>
        </w:rPr>
        <w:footnoteReference w:id="8"/>
      </w:r>
      <w:r w:rsidRPr="00F955EE">
        <w:rPr>
          <w:rFonts w:eastAsia="Calibri"/>
          <w:lang w:val="es-ES"/>
        </w:rPr>
        <w:t xml:space="preserve">. </w:t>
      </w:r>
    </w:p>
    <w:p w14:paraId="31AA6DE6" w14:textId="77777777" w:rsidR="00616A72" w:rsidRPr="00F955EE" w:rsidRDefault="00616A72" w:rsidP="00616A72">
      <w:pPr>
        <w:widowControl/>
        <w:tabs>
          <w:tab w:val="left" w:pos="567"/>
        </w:tabs>
        <w:autoSpaceDE w:val="0"/>
        <w:autoSpaceDN w:val="0"/>
        <w:adjustRightInd/>
        <w:ind w:right="-90"/>
        <w:textAlignment w:val="auto"/>
        <w:rPr>
          <w:rFonts w:eastAsia="Calibri"/>
          <w:lang w:val="es-ES"/>
        </w:rPr>
      </w:pPr>
    </w:p>
    <w:p w14:paraId="7246D137" w14:textId="660BF851" w:rsidR="00616A72" w:rsidRPr="00F955EE" w:rsidRDefault="00616A72" w:rsidP="004F0770">
      <w:pPr>
        <w:widowControl/>
        <w:numPr>
          <w:ilvl w:val="0"/>
          <w:numId w:val="4"/>
        </w:numPr>
        <w:tabs>
          <w:tab w:val="left" w:pos="567"/>
          <w:tab w:val="num" w:pos="1569"/>
          <w:tab w:val="num" w:pos="12305"/>
        </w:tabs>
        <w:autoSpaceDE w:val="0"/>
        <w:autoSpaceDN w:val="0"/>
        <w:adjustRightInd/>
        <w:ind w:left="0" w:right="-90" w:firstLine="0"/>
        <w:textAlignment w:val="auto"/>
        <w:rPr>
          <w:rFonts w:eastAsia="Calibri"/>
          <w:lang w:val="es-ES"/>
        </w:rPr>
      </w:pPr>
      <w:r w:rsidRPr="00F955EE">
        <w:rPr>
          <w:rFonts w:eastAsia="Calibri"/>
          <w:lang w:val="es-ES"/>
        </w:rPr>
        <w:t xml:space="preserve">La Corte </w:t>
      </w:r>
      <w:r w:rsidR="008209D4" w:rsidRPr="00F955EE">
        <w:rPr>
          <w:rFonts w:eastAsia="Calibri"/>
          <w:lang w:val="es-ES"/>
        </w:rPr>
        <w:t xml:space="preserve">advierte </w:t>
      </w:r>
      <w:r w:rsidRPr="00F955EE">
        <w:rPr>
          <w:rFonts w:eastAsia="Calibri"/>
          <w:lang w:val="es-ES"/>
        </w:rPr>
        <w:t>que</w:t>
      </w:r>
      <w:r w:rsidR="00C63382" w:rsidRPr="00F955EE">
        <w:rPr>
          <w:rFonts w:eastAsia="Calibri"/>
          <w:lang w:val="es-ES"/>
        </w:rPr>
        <w:t xml:space="preserve">, en su escrito de contestación, </w:t>
      </w:r>
      <w:r w:rsidRPr="00F955EE">
        <w:rPr>
          <w:rFonts w:eastAsia="Calibri"/>
          <w:lang w:val="es-ES"/>
        </w:rPr>
        <w:t>el Estado</w:t>
      </w:r>
      <w:r w:rsidR="00843C47" w:rsidRPr="00F955EE">
        <w:rPr>
          <w:rFonts w:eastAsia="Calibri"/>
          <w:lang w:val="es-ES"/>
        </w:rPr>
        <w:t xml:space="preserve"> </w:t>
      </w:r>
      <w:r w:rsidRPr="00F955EE">
        <w:rPr>
          <w:rFonts w:eastAsia="Calibri"/>
          <w:lang w:val="es-ES"/>
        </w:rPr>
        <w:t>solicit</w:t>
      </w:r>
      <w:r w:rsidR="00E407C3" w:rsidRPr="00F955EE">
        <w:rPr>
          <w:rFonts w:eastAsia="Calibri"/>
          <w:lang w:val="es-ES"/>
        </w:rPr>
        <w:t>ó</w:t>
      </w:r>
      <w:r w:rsidRPr="00F955EE">
        <w:rPr>
          <w:rFonts w:eastAsia="Calibri"/>
          <w:lang w:val="es-ES"/>
        </w:rPr>
        <w:t xml:space="preserve"> que no </w:t>
      </w:r>
      <w:r w:rsidR="00E407C3" w:rsidRPr="00F955EE">
        <w:rPr>
          <w:rFonts w:eastAsia="Calibri"/>
          <w:lang w:val="es-ES"/>
        </w:rPr>
        <w:t>fueran</w:t>
      </w:r>
      <w:r w:rsidRPr="00F955EE">
        <w:rPr>
          <w:rFonts w:eastAsia="Calibri"/>
          <w:lang w:val="es-ES"/>
        </w:rPr>
        <w:t xml:space="preserve"> admitidos los recortes de periódicos de fecha 19 de abril de 1996 que constan en el anexo 1 del ESAP, “toda vez que no constituye</w:t>
      </w:r>
      <w:r w:rsidR="00CA349D" w:rsidRPr="00F955EE">
        <w:rPr>
          <w:rFonts w:eastAsia="Calibri"/>
          <w:lang w:val="es-ES"/>
        </w:rPr>
        <w:t>n</w:t>
      </w:r>
      <w:r w:rsidRPr="00F955EE">
        <w:rPr>
          <w:rFonts w:eastAsia="Calibri"/>
          <w:lang w:val="es-ES"/>
        </w:rPr>
        <w:t xml:space="preserve"> un medio fiable”. </w:t>
      </w:r>
      <w:r w:rsidR="005E6993" w:rsidRPr="00F955EE">
        <w:rPr>
          <w:rFonts w:eastAsia="Calibri"/>
          <w:lang w:val="es-ES"/>
        </w:rPr>
        <w:t>A este respecto, este Tribunal ha considerado que las notas de prensa podrán ser apreciadas cuando recojan hechos públicos y notorios o declaraciones de funcionarios del Estado, o cuando corroboren aspectos relacionados con el caso</w:t>
      </w:r>
      <w:r w:rsidR="005E6993" w:rsidRPr="00F955EE">
        <w:rPr>
          <w:rStyle w:val="Refdenotaalpie"/>
          <w:rFonts w:eastAsia="Calibri"/>
          <w:lang w:val="es-ES"/>
        </w:rPr>
        <w:footnoteReference w:id="9"/>
      </w:r>
      <w:r w:rsidR="005E6993" w:rsidRPr="00F955EE">
        <w:rPr>
          <w:rFonts w:eastAsia="Calibri"/>
          <w:lang w:val="es-ES"/>
        </w:rPr>
        <w:t xml:space="preserve">. La Corte decide admitir </w:t>
      </w:r>
      <w:r w:rsidR="000E4848" w:rsidRPr="00F955EE">
        <w:rPr>
          <w:rFonts w:eastAsia="Calibri"/>
          <w:lang w:val="es-ES"/>
        </w:rPr>
        <w:t>los referidos</w:t>
      </w:r>
      <w:r w:rsidR="005E6993" w:rsidRPr="00F955EE">
        <w:rPr>
          <w:rFonts w:eastAsia="Calibri"/>
          <w:lang w:val="es-ES"/>
        </w:rPr>
        <w:t xml:space="preserve"> documentos</w:t>
      </w:r>
      <w:r w:rsidR="000E4848" w:rsidRPr="00F955EE">
        <w:rPr>
          <w:rFonts w:eastAsia="Calibri"/>
          <w:lang w:val="es-ES"/>
        </w:rPr>
        <w:t>, toda vez que</w:t>
      </w:r>
      <w:r w:rsidR="005E6993" w:rsidRPr="00F955EE">
        <w:rPr>
          <w:rFonts w:eastAsia="Calibri"/>
          <w:lang w:val="es-ES"/>
        </w:rPr>
        <w:t xml:space="preserve"> se encuentr</w:t>
      </w:r>
      <w:r w:rsidR="000E4848" w:rsidRPr="00F955EE">
        <w:rPr>
          <w:rFonts w:eastAsia="Calibri"/>
          <w:lang w:val="es-ES"/>
        </w:rPr>
        <w:t>a</w:t>
      </w:r>
      <w:r w:rsidR="005E6993" w:rsidRPr="00F955EE">
        <w:rPr>
          <w:rFonts w:eastAsia="Calibri"/>
          <w:lang w:val="es-ES"/>
        </w:rPr>
        <w:t xml:space="preserve">n completos </w:t>
      </w:r>
      <w:r w:rsidR="000E4848" w:rsidRPr="00F955EE">
        <w:rPr>
          <w:rFonts w:eastAsia="Calibri"/>
          <w:lang w:val="es-ES"/>
        </w:rPr>
        <w:t>y los valorará tomando en cuenta el conjunto del acervo probatorio, las observaciones de las partes y las reglas de la sana crítica.</w:t>
      </w:r>
    </w:p>
    <w:p w14:paraId="3616A342" w14:textId="77777777" w:rsidR="00843C47" w:rsidRPr="00F955EE" w:rsidRDefault="00843C47" w:rsidP="00843C47">
      <w:pPr>
        <w:widowControl/>
        <w:tabs>
          <w:tab w:val="left" w:pos="567"/>
        </w:tabs>
        <w:autoSpaceDE w:val="0"/>
        <w:autoSpaceDN w:val="0"/>
        <w:adjustRightInd/>
        <w:ind w:right="-90"/>
        <w:textAlignment w:val="auto"/>
        <w:rPr>
          <w:highlight w:val="red"/>
          <w:lang w:val="es-ES"/>
        </w:rPr>
      </w:pPr>
    </w:p>
    <w:p w14:paraId="4AD21E06" w14:textId="77777777" w:rsidR="008209D4" w:rsidRPr="00F955EE" w:rsidRDefault="00843C47" w:rsidP="004F0770">
      <w:pPr>
        <w:widowControl/>
        <w:numPr>
          <w:ilvl w:val="0"/>
          <w:numId w:val="4"/>
        </w:numPr>
        <w:tabs>
          <w:tab w:val="left" w:pos="567"/>
          <w:tab w:val="num" w:pos="1569"/>
          <w:tab w:val="num" w:pos="12305"/>
        </w:tabs>
        <w:autoSpaceDE w:val="0"/>
        <w:autoSpaceDN w:val="0"/>
        <w:adjustRightInd/>
        <w:ind w:left="0" w:right="-90" w:firstLine="0"/>
        <w:textAlignment w:val="auto"/>
        <w:rPr>
          <w:sz w:val="24"/>
          <w:szCs w:val="24"/>
          <w:lang w:val="es-ES" w:eastAsia="es-ES_tradnl"/>
        </w:rPr>
      </w:pPr>
      <w:r w:rsidRPr="00F955EE">
        <w:rPr>
          <w:rFonts w:eastAsia="Calibri"/>
          <w:lang w:val="es-ES"/>
        </w:rPr>
        <w:t>Por otro lado,</w:t>
      </w:r>
      <w:r w:rsidR="00584F0C" w:rsidRPr="00F955EE">
        <w:rPr>
          <w:rFonts w:eastAsia="Calibri"/>
          <w:lang w:val="es-ES"/>
        </w:rPr>
        <w:t xml:space="preserve"> junto con su escrito de alegatos finales, el Estado remitió una </w:t>
      </w:r>
      <w:r w:rsidR="005E0544" w:rsidRPr="00F955EE">
        <w:rPr>
          <w:rFonts w:eastAsia="Calibri"/>
          <w:lang w:val="es-ES"/>
        </w:rPr>
        <w:t>copia</w:t>
      </w:r>
      <w:r w:rsidR="00584F0C" w:rsidRPr="00F955EE">
        <w:rPr>
          <w:rFonts w:eastAsia="Calibri"/>
          <w:lang w:val="es-ES"/>
        </w:rPr>
        <w:t xml:space="preserve"> del Código de Instrucción Criminal</w:t>
      </w:r>
      <w:r w:rsidR="00C86F77" w:rsidRPr="00F955EE">
        <w:rPr>
          <w:rFonts w:eastAsia="Calibri"/>
          <w:lang w:val="es-ES"/>
        </w:rPr>
        <w:t xml:space="preserve"> comentado</w:t>
      </w:r>
      <w:r w:rsidR="00584F0C" w:rsidRPr="00F955EE">
        <w:rPr>
          <w:rFonts w:eastAsia="Calibri"/>
          <w:lang w:val="es-ES"/>
        </w:rPr>
        <w:t>, el cual fue requerido por esta Corte en la audiencia pública celebrada en el presente caso</w:t>
      </w:r>
      <w:r w:rsidR="003C3752" w:rsidRPr="00F955EE">
        <w:rPr>
          <w:rFonts w:eastAsia="Calibri"/>
          <w:lang w:val="es-ES"/>
        </w:rPr>
        <w:t>, así como un documento de “Análisis criminalística de las pruebas periciales contenidas en el expediente ofrecido como prueba”</w:t>
      </w:r>
      <w:r w:rsidR="00584F0C" w:rsidRPr="00F955EE">
        <w:rPr>
          <w:rFonts w:eastAsia="Calibri"/>
          <w:lang w:val="es-ES"/>
        </w:rPr>
        <w:t>.</w:t>
      </w:r>
      <w:r w:rsidR="003C3752" w:rsidRPr="00F955EE">
        <w:rPr>
          <w:rFonts w:eastAsia="Calibri"/>
          <w:lang w:val="es-ES"/>
        </w:rPr>
        <w:t xml:space="preserve"> </w:t>
      </w:r>
    </w:p>
    <w:p w14:paraId="5DD92191" w14:textId="77777777" w:rsidR="008209D4" w:rsidRPr="00F955EE" w:rsidRDefault="008209D4" w:rsidP="006E63EF">
      <w:pPr>
        <w:widowControl/>
        <w:tabs>
          <w:tab w:val="left" w:pos="567"/>
        </w:tabs>
        <w:autoSpaceDE w:val="0"/>
        <w:autoSpaceDN w:val="0"/>
        <w:adjustRightInd/>
        <w:ind w:right="-90"/>
        <w:textAlignment w:val="auto"/>
        <w:rPr>
          <w:sz w:val="24"/>
          <w:szCs w:val="24"/>
          <w:lang w:val="es-ES" w:eastAsia="es-ES_tradnl"/>
        </w:rPr>
      </w:pPr>
    </w:p>
    <w:p w14:paraId="7A166F2F" w14:textId="1D55C9FC" w:rsidR="008209D4" w:rsidRPr="00F955EE" w:rsidRDefault="0022484A" w:rsidP="004F0770">
      <w:pPr>
        <w:widowControl/>
        <w:numPr>
          <w:ilvl w:val="0"/>
          <w:numId w:val="4"/>
        </w:numPr>
        <w:tabs>
          <w:tab w:val="left" w:pos="567"/>
          <w:tab w:val="num" w:pos="1569"/>
          <w:tab w:val="num" w:pos="12305"/>
        </w:tabs>
        <w:autoSpaceDE w:val="0"/>
        <w:autoSpaceDN w:val="0"/>
        <w:adjustRightInd/>
        <w:ind w:left="0" w:right="-90" w:firstLine="0"/>
        <w:textAlignment w:val="auto"/>
        <w:rPr>
          <w:sz w:val="24"/>
          <w:szCs w:val="24"/>
          <w:lang w:val="es-ES" w:eastAsia="es-ES_tradnl"/>
        </w:rPr>
      </w:pPr>
      <w:r w:rsidRPr="00F955EE">
        <w:rPr>
          <w:rFonts w:eastAsia="Calibri"/>
          <w:lang w:val="es-ES"/>
        </w:rPr>
        <w:t>Con respecto a la remisión del Código de Instrucción Criminal comentado, e</w:t>
      </w:r>
      <w:r w:rsidR="00C86F77" w:rsidRPr="00F955EE">
        <w:rPr>
          <w:rFonts w:eastAsia="Calibri"/>
          <w:lang w:val="es-ES"/>
        </w:rPr>
        <w:t xml:space="preserve">l representante objetó la admisión de dicho documento </w:t>
      </w:r>
      <w:r w:rsidR="00042E1B" w:rsidRPr="00F955EE">
        <w:rPr>
          <w:rFonts w:eastAsia="Calibri"/>
          <w:lang w:val="es-ES"/>
        </w:rPr>
        <w:t xml:space="preserve">cuestionando las valoraciones que realiza el comentarista del referido Código, aduciendo que éstas correspondían con “un criterio que no pasa de ser personal </w:t>
      </w:r>
      <w:r w:rsidR="00042E1B" w:rsidRPr="00F955EE">
        <w:rPr>
          <w:rFonts w:eastAsia="Calibri"/>
          <w:lang w:val="es-ES"/>
        </w:rPr>
        <w:lastRenderedPageBreak/>
        <w:t>y[,] por lo mismo[,] no</w:t>
      </w:r>
      <w:r w:rsidR="00042E1B" w:rsidRPr="00F955EE">
        <w:rPr>
          <w:lang w:val="es-ES" w:eastAsia="es-ES_tradnl"/>
        </w:rPr>
        <w:t xml:space="preserve"> es vinculante”. </w:t>
      </w:r>
      <w:r w:rsidR="00027197" w:rsidRPr="00F955EE">
        <w:rPr>
          <w:lang w:val="es-ES" w:eastAsia="es-ES_tradnl"/>
        </w:rPr>
        <w:t>Por otro lado, la Comisión</w:t>
      </w:r>
      <w:r w:rsidR="003B7F2A" w:rsidRPr="00F955EE">
        <w:rPr>
          <w:lang w:val="es-ES" w:eastAsia="es-ES_tradnl"/>
        </w:rPr>
        <w:t xml:space="preserve"> observó que el texto del referido Código de Instrucción Criminal resultaba relevante a efectos de que la Corte pudiera contar con información sobre el marco normativo aplicable a la época de los hechos. Sin perjuicio de ello, la Comisión añadió que dicho documento poseía un carácter “comentado” que contenía diversas apreciaciones por parte de un autor </w:t>
      </w:r>
      <w:r w:rsidR="009B1A98" w:rsidRPr="00F955EE">
        <w:rPr>
          <w:lang w:val="es-ES" w:eastAsia="es-ES_tradnl"/>
        </w:rPr>
        <w:t>sobre</w:t>
      </w:r>
      <w:r w:rsidR="003B7F2A" w:rsidRPr="00F955EE">
        <w:rPr>
          <w:lang w:val="es-ES" w:eastAsia="es-ES_tradnl"/>
        </w:rPr>
        <w:t xml:space="preserve"> la interpretación jurídica de diversas normas que no podrían ser incorporadas como prueba en el proceso</w:t>
      </w:r>
      <w:r w:rsidR="00CA349D" w:rsidRPr="00F955EE">
        <w:rPr>
          <w:lang w:val="es-ES" w:eastAsia="es-ES_tradnl"/>
        </w:rPr>
        <w:t>,</w:t>
      </w:r>
      <w:r w:rsidR="003B7F2A" w:rsidRPr="00F955EE">
        <w:rPr>
          <w:lang w:val="es-ES" w:eastAsia="es-ES_tradnl"/>
        </w:rPr>
        <w:t xml:space="preserve"> pues fueron presentadas de manera extemporánea a las oportunidades con que cuenta el Estado para presentar prueba.</w:t>
      </w:r>
      <w:r w:rsidR="003B7F2A" w:rsidRPr="00F955EE">
        <w:rPr>
          <w:rFonts w:eastAsiaTheme="minorHAnsi"/>
          <w:lang w:val="es-ES" w:eastAsia="en-US"/>
        </w:rPr>
        <w:t xml:space="preserve"> </w:t>
      </w:r>
      <w:r w:rsidR="00AE598E">
        <w:rPr>
          <w:rFonts w:eastAsia="Calibri"/>
          <w:lang w:val="es-ES"/>
        </w:rPr>
        <w:t>Mediante</w:t>
      </w:r>
      <w:r w:rsidR="005E38ED" w:rsidRPr="00F955EE">
        <w:rPr>
          <w:rFonts w:eastAsia="Calibri"/>
          <w:lang w:val="es-ES"/>
        </w:rPr>
        <w:t xml:space="preserve"> escrito </w:t>
      </w:r>
      <w:r w:rsidR="005F28C7">
        <w:rPr>
          <w:rFonts w:eastAsia="Calibri"/>
          <w:lang w:val="es-ES"/>
        </w:rPr>
        <w:t>de</w:t>
      </w:r>
      <w:r w:rsidR="005E38ED" w:rsidRPr="00F955EE">
        <w:rPr>
          <w:rFonts w:eastAsia="Calibri"/>
          <w:lang w:val="es-ES"/>
        </w:rPr>
        <w:t xml:space="preserve"> 22 de abril de 2020, el Estado destacó que el anexo cuestionado había sido remitido a la vista de un requerimiento realizado por los Jueces en el acto de la audiencia pública y precisó que no pretendía incluir como prueba los referidos comentarios. </w:t>
      </w:r>
      <w:r w:rsidR="00042E1B" w:rsidRPr="00F955EE">
        <w:rPr>
          <w:lang w:val="es-ES" w:eastAsia="es-ES_tradnl"/>
        </w:rPr>
        <w:t>Al respecto, este Tribunal constata que</w:t>
      </w:r>
      <w:r w:rsidR="00704878" w:rsidRPr="00F955EE">
        <w:rPr>
          <w:lang w:val="es-ES" w:eastAsia="es-ES_tradnl"/>
        </w:rPr>
        <w:t>, tal y como todas las partes han indicado,</w:t>
      </w:r>
      <w:r w:rsidR="00042E1B" w:rsidRPr="00F955EE">
        <w:rPr>
          <w:lang w:val="es-ES" w:eastAsia="es-ES_tradnl"/>
        </w:rPr>
        <w:t xml:space="preserve"> el Estado tenía la obligación de remitir una copia del Código de Instrucción Criminal.</w:t>
      </w:r>
      <w:r w:rsidR="00B23B67" w:rsidRPr="00F955EE">
        <w:rPr>
          <w:lang w:val="es-ES" w:eastAsia="es-ES_tradnl"/>
        </w:rPr>
        <w:t xml:space="preserve"> </w:t>
      </w:r>
      <w:r w:rsidR="003B7F2A" w:rsidRPr="00F955EE">
        <w:rPr>
          <w:lang w:val="es-ES" w:eastAsia="es-ES"/>
        </w:rPr>
        <w:t>En consecuencia</w:t>
      </w:r>
      <w:r w:rsidR="00042E1B" w:rsidRPr="00F955EE">
        <w:rPr>
          <w:lang w:val="es-ES" w:eastAsia="es-ES"/>
        </w:rPr>
        <w:t xml:space="preserve">, </w:t>
      </w:r>
      <w:r w:rsidR="00A264CD" w:rsidRPr="00F955EE">
        <w:rPr>
          <w:lang w:val="es-ES" w:eastAsia="es-ES"/>
        </w:rPr>
        <w:t>la</w:t>
      </w:r>
      <w:r w:rsidR="00042E1B" w:rsidRPr="00F955EE">
        <w:rPr>
          <w:lang w:val="es-ES" w:eastAsia="es-ES"/>
        </w:rPr>
        <w:t xml:space="preserve"> Corte</w:t>
      </w:r>
      <w:r w:rsidR="00042E1B" w:rsidRPr="00F955EE">
        <w:rPr>
          <w:lang w:val="es-ES" w:eastAsia="es-ES_tradnl"/>
        </w:rPr>
        <w:t xml:space="preserve"> considera que </w:t>
      </w:r>
      <w:r w:rsidR="00A264CD" w:rsidRPr="00F955EE">
        <w:rPr>
          <w:lang w:val="es-ES" w:eastAsia="es-ES_tradnl"/>
        </w:rPr>
        <w:t xml:space="preserve">la copia del Código de Instrucción Criminal comentado </w:t>
      </w:r>
      <w:r w:rsidR="004040AC" w:rsidRPr="00F955EE">
        <w:rPr>
          <w:lang w:val="es-ES" w:eastAsia="es-ES_tradnl"/>
        </w:rPr>
        <w:t xml:space="preserve">es admisible </w:t>
      </w:r>
      <w:r w:rsidR="00027197" w:rsidRPr="00F955EE">
        <w:rPr>
          <w:lang w:val="es-ES" w:eastAsia="es-ES_tradnl"/>
        </w:rPr>
        <w:t>únicamente en lo referido al contenido de los artículos de dicho instrumento legal</w:t>
      </w:r>
      <w:r w:rsidR="00CF6344" w:rsidRPr="00F955EE">
        <w:rPr>
          <w:lang w:val="es-ES" w:eastAsia="es-ES_tradnl"/>
        </w:rPr>
        <w:t xml:space="preserve">, excluyéndose, por tanto, las valoraciones que el comentarista realiza sobre </w:t>
      </w:r>
      <w:r w:rsidR="00E30D78">
        <w:rPr>
          <w:lang w:val="es-ES" w:eastAsia="es-ES_tradnl"/>
        </w:rPr>
        <w:t>las disposiciones</w:t>
      </w:r>
      <w:r w:rsidR="00A264CD" w:rsidRPr="00F955EE">
        <w:rPr>
          <w:lang w:val="es-ES" w:eastAsia="es-ES_tradnl"/>
        </w:rPr>
        <w:t>.</w:t>
      </w:r>
      <w:r w:rsidR="00042E1B" w:rsidRPr="00F955EE">
        <w:rPr>
          <w:lang w:val="es-ES" w:eastAsia="es-ES_tradnl"/>
        </w:rPr>
        <w:t xml:space="preserve"> </w:t>
      </w:r>
    </w:p>
    <w:p w14:paraId="57C0D347" w14:textId="77777777" w:rsidR="008209D4" w:rsidRPr="00F955EE" w:rsidRDefault="008209D4" w:rsidP="00063927">
      <w:pPr>
        <w:widowControl/>
        <w:tabs>
          <w:tab w:val="left" w:pos="567"/>
        </w:tabs>
        <w:autoSpaceDE w:val="0"/>
        <w:autoSpaceDN w:val="0"/>
        <w:adjustRightInd/>
        <w:ind w:right="-90"/>
        <w:textAlignment w:val="auto"/>
        <w:rPr>
          <w:sz w:val="24"/>
          <w:szCs w:val="24"/>
          <w:lang w:val="es-ES" w:eastAsia="es-ES_tradnl"/>
        </w:rPr>
      </w:pPr>
    </w:p>
    <w:p w14:paraId="313A4942" w14:textId="68D29929" w:rsidR="00042E1B" w:rsidRPr="00F955EE" w:rsidRDefault="0022484A" w:rsidP="004F0770">
      <w:pPr>
        <w:widowControl/>
        <w:numPr>
          <w:ilvl w:val="0"/>
          <w:numId w:val="4"/>
        </w:numPr>
        <w:tabs>
          <w:tab w:val="left" w:pos="567"/>
          <w:tab w:val="num" w:pos="1569"/>
          <w:tab w:val="num" w:pos="12305"/>
        </w:tabs>
        <w:autoSpaceDE w:val="0"/>
        <w:autoSpaceDN w:val="0"/>
        <w:adjustRightInd/>
        <w:ind w:left="0" w:right="-90" w:firstLine="0"/>
        <w:textAlignment w:val="auto"/>
        <w:rPr>
          <w:sz w:val="24"/>
          <w:szCs w:val="24"/>
          <w:lang w:val="es-ES" w:eastAsia="es-ES_tradnl"/>
        </w:rPr>
      </w:pPr>
      <w:r w:rsidRPr="00F955EE">
        <w:rPr>
          <w:lang w:val="es-ES" w:eastAsia="es-ES_tradnl"/>
        </w:rPr>
        <w:t xml:space="preserve">Asimismo, con respecto al </w:t>
      </w:r>
      <w:r w:rsidRPr="00F955EE">
        <w:rPr>
          <w:rFonts w:eastAsia="Calibri"/>
          <w:lang w:val="es-ES"/>
        </w:rPr>
        <w:t>documento “Análisis criminalística de las pruebas periciales contenidas en el expediente ofrecido como prueba”</w:t>
      </w:r>
      <w:r w:rsidR="00CA349D" w:rsidRPr="00F955EE">
        <w:rPr>
          <w:rFonts w:eastAsia="Calibri"/>
          <w:lang w:val="es-ES"/>
        </w:rPr>
        <w:t xml:space="preserve">, </w:t>
      </w:r>
      <w:r w:rsidR="008209D4" w:rsidRPr="00F955EE">
        <w:rPr>
          <w:rFonts w:eastAsia="Calibri"/>
          <w:lang w:val="es-ES"/>
        </w:rPr>
        <w:t>l</w:t>
      </w:r>
      <w:r w:rsidRPr="00F955EE">
        <w:rPr>
          <w:rFonts w:eastAsia="Calibri"/>
          <w:lang w:val="es-ES"/>
        </w:rPr>
        <w:t xml:space="preserve">a Corte advierte que el Estado no ha justificado la </w:t>
      </w:r>
      <w:r w:rsidR="00CF6344" w:rsidRPr="00F955EE">
        <w:rPr>
          <w:rFonts w:eastAsia="Calibri"/>
          <w:lang w:val="es-ES"/>
        </w:rPr>
        <w:t>razón</w:t>
      </w:r>
      <w:r w:rsidRPr="00F955EE">
        <w:rPr>
          <w:rFonts w:eastAsia="Calibri"/>
          <w:lang w:val="es-ES"/>
        </w:rPr>
        <w:t xml:space="preserve"> por la cual, en los </w:t>
      </w:r>
      <w:r w:rsidR="00CF6344" w:rsidRPr="00F955EE">
        <w:rPr>
          <w:rFonts w:eastAsia="Calibri"/>
          <w:lang w:val="es-ES"/>
        </w:rPr>
        <w:t>términos</w:t>
      </w:r>
      <w:r w:rsidRPr="00F955EE">
        <w:rPr>
          <w:rFonts w:eastAsia="Calibri"/>
          <w:lang w:val="es-ES"/>
        </w:rPr>
        <w:t xml:space="preserve"> del </w:t>
      </w:r>
      <w:r w:rsidR="00CF6344" w:rsidRPr="00F955EE">
        <w:rPr>
          <w:rFonts w:eastAsia="Calibri"/>
          <w:lang w:val="es-ES"/>
        </w:rPr>
        <w:t>artículo</w:t>
      </w:r>
      <w:r w:rsidRPr="00F955EE">
        <w:rPr>
          <w:rFonts w:eastAsia="Calibri"/>
          <w:lang w:val="es-ES"/>
        </w:rPr>
        <w:t xml:space="preserve"> 57.2 del Reglamento de la Corte, ha presentado dicho documento junto con los alegatos finales escritos, pues el momento procesal oportuno para hacerlo era junto con su escrito de Contestación. En consecuencia, dicho documento es inadmisible por extemporáneo. </w:t>
      </w:r>
    </w:p>
    <w:p w14:paraId="2354FF61" w14:textId="127CAA9D" w:rsidR="00843C47" w:rsidRPr="00F955EE" w:rsidRDefault="00843C47" w:rsidP="00843C47">
      <w:pPr>
        <w:widowControl/>
        <w:tabs>
          <w:tab w:val="left" w:pos="567"/>
          <w:tab w:val="num" w:pos="12305"/>
        </w:tabs>
        <w:autoSpaceDE w:val="0"/>
        <w:autoSpaceDN w:val="0"/>
        <w:adjustRightInd/>
        <w:ind w:right="-90"/>
        <w:textAlignment w:val="auto"/>
        <w:rPr>
          <w:highlight w:val="red"/>
          <w:lang w:val="es-ES"/>
        </w:rPr>
      </w:pPr>
    </w:p>
    <w:p w14:paraId="3270B8A5" w14:textId="4894A65C" w:rsidR="00E60B2C" w:rsidRPr="00F955EE" w:rsidRDefault="00CA349D" w:rsidP="004F0770">
      <w:pPr>
        <w:widowControl/>
        <w:numPr>
          <w:ilvl w:val="0"/>
          <w:numId w:val="4"/>
        </w:numPr>
        <w:tabs>
          <w:tab w:val="left" w:pos="567"/>
          <w:tab w:val="num" w:pos="1569"/>
          <w:tab w:val="num" w:pos="12305"/>
        </w:tabs>
        <w:autoSpaceDE w:val="0"/>
        <w:autoSpaceDN w:val="0"/>
        <w:adjustRightInd/>
        <w:ind w:left="0" w:right="-90" w:firstLine="0"/>
        <w:textAlignment w:val="auto"/>
        <w:rPr>
          <w:lang w:val="es-ES" w:eastAsia="es-ES"/>
        </w:rPr>
      </w:pPr>
      <w:r w:rsidRPr="00F955EE">
        <w:rPr>
          <w:lang w:val="es-ES" w:eastAsia="es-ES"/>
        </w:rPr>
        <w:t>Por otro lado</w:t>
      </w:r>
      <w:r w:rsidR="005E0544" w:rsidRPr="00F955EE">
        <w:rPr>
          <w:lang w:val="es-ES" w:eastAsia="es-ES"/>
        </w:rPr>
        <w:t>, el representante remitió numerosa documentación junto con su escrito de alegatos finale</w:t>
      </w:r>
      <w:r w:rsidR="00546198">
        <w:rPr>
          <w:lang w:val="es-ES" w:eastAsia="es-ES"/>
        </w:rPr>
        <w:t>s</w:t>
      </w:r>
      <w:r w:rsidR="00C86F77" w:rsidRPr="00F955EE">
        <w:rPr>
          <w:lang w:val="es-ES" w:eastAsia="es-ES"/>
        </w:rPr>
        <w:t>.</w:t>
      </w:r>
      <w:r w:rsidR="005E0544" w:rsidRPr="00F955EE">
        <w:rPr>
          <w:lang w:val="es-ES" w:eastAsia="es-ES"/>
        </w:rPr>
        <w:t xml:space="preserve"> </w:t>
      </w:r>
      <w:r w:rsidR="00C86F77" w:rsidRPr="00F955EE">
        <w:rPr>
          <w:lang w:val="es-ES" w:eastAsia="es-ES"/>
        </w:rPr>
        <w:t xml:space="preserve">En este sentido, la Corte nota que el representante no </w:t>
      </w:r>
      <w:r w:rsidR="007B5A16" w:rsidRPr="00F955EE">
        <w:rPr>
          <w:lang w:val="es-ES" w:eastAsia="es-ES"/>
        </w:rPr>
        <w:t>remitió</w:t>
      </w:r>
      <w:r w:rsidR="00C86F77" w:rsidRPr="00F955EE">
        <w:rPr>
          <w:lang w:val="es-ES" w:eastAsia="es-ES"/>
        </w:rPr>
        <w:t xml:space="preserve">́ dicha prueba en el momento procesal oportuno, ni adujo ninguna de las causales excepcionales en virtud de la cuales la referida documentación debería haber sido admitida. En consecuencia, la Corte rechaza </w:t>
      </w:r>
      <w:r w:rsidR="00704878" w:rsidRPr="00F955EE">
        <w:rPr>
          <w:lang w:val="es-ES" w:eastAsia="es-ES"/>
        </w:rPr>
        <w:t>dichos</w:t>
      </w:r>
      <w:r w:rsidR="00C86F77" w:rsidRPr="00F955EE">
        <w:rPr>
          <w:lang w:val="es-ES" w:eastAsia="es-ES"/>
        </w:rPr>
        <w:t xml:space="preserve"> documentos </w:t>
      </w:r>
      <w:r w:rsidRPr="00F955EE">
        <w:rPr>
          <w:lang w:val="es-ES" w:eastAsia="es-ES"/>
        </w:rPr>
        <w:t>por extemporáneos</w:t>
      </w:r>
      <w:r w:rsidR="00042E1B" w:rsidRPr="00F955EE">
        <w:rPr>
          <w:lang w:val="es-ES" w:eastAsia="es-ES"/>
        </w:rPr>
        <w:t>.</w:t>
      </w:r>
    </w:p>
    <w:p w14:paraId="332BF05A" w14:textId="77777777" w:rsidR="00616A72" w:rsidRPr="00F955EE" w:rsidRDefault="00616A72" w:rsidP="00616A72">
      <w:pPr>
        <w:pStyle w:val="Ttulo2"/>
        <w:rPr>
          <w:lang w:val="es-ES"/>
        </w:rPr>
      </w:pPr>
      <w:bookmarkStart w:id="24" w:name="_Toc43216146"/>
      <w:r w:rsidRPr="00F955EE">
        <w:rPr>
          <w:lang w:val="es-ES"/>
        </w:rPr>
        <w:t>B.</w:t>
      </w:r>
      <w:r w:rsidRPr="00F955EE">
        <w:rPr>
          <w:lang w:val="es-ES"/>
        </w:rPr>
        <w:tab/>
        <w:t>Admisibilidad de la prueba testimonial y pericial</w:t>
      </w:r>
      <w:bookmarkEnd w:id="24"/>
    </w:p>
    <w:p w14:paraId="37B076F3" w14:textId="4EE9828F" w:rsidR="00616A72" w:rsidRPr="00F955EE" w:rsidRDefault="00616A72" w:rsidP="004F0770">
      <w:pPr>
        <w:widowControl/>
        <w:numPr>
          <w:ilvl w:val="0"/>
          <w:numId w:val="4"/>
        </w:numPr>
        <w:tabs>
          <w:tab w:val="left" w:pos="567"/>
          <w:tab w:val="num" w:pos="1569"/>
          <w:tab w:val="num" w:pos="12305"/>
        </w:tabs>
        <w:autoSpaceDE w:val="0"/>
        <w:autoSpaceDN w:val="0"/>
        <w:ind w:left="0" w:firstLine="0"/>
        <w:textAlignment w:val="auto"/>
        <w:rPr>
          <w:lang w:val="es-ES"/>
        </w:rPr>
      </w:pPr>
      <w:r w:rsidRPr="00F955EE">
        <w:rPr>
          <w:lang w:val="es-ES"/>
        </w:rPr>
        <w:t xml:space="preserve">La Corte estima pertinente admitir las declaraciones </w:t>
      </w:r>
      <w:r w:rsidR="004F4ABC">
        <w:rPr>
          <w:lang w:val="es-ES"/>
        </w:rPr>
        <w:t>recibidas</w:t>
      </w:r>
      <w:r w:rsidR="004F4ABC" w:rsidRPr="00F955EE">
        <w:rPr>
          <w:lang w:val="es-ES"/>
        </w:rPr>
        <w:t xml:space="preserve"> </w:t>
      </w:r>
      <w:r w:rsidRPr="00F955EE">
        <w:rPr>
          <w:lang w:val="es-ES"/>
        </w:rPr>
        <w:t>en audiencia pública</w:t>
      </w:r>
      <w:r w:rsidRPr="00F955EE">
        <w:rPr>
          <w:rStyle w:val="Refdenotaalpie"/>
          <w:lang w:val="es-ES"/>
        </w:rPr>
        <w:footnoteReference w:id="10"/>
      </w:r>
      <w:r w:rsidRPr="00F955EE">
        <w:rPr>
          <w:lang w:val="es-ES"/>
        </w:rPr>
        <w:t xml:space="preserve">, así como las </w:t>
      </w:r>
      <w:r w:rsidRPr="00F955EE">
        <w:rPr>
          <w:rFonts w:cs="Verdana"/>
          <w:lang w:val="es-ES" w:eastAsia="es-MX"/>
        </w:rPr>
        <w:t>declaraciones rendidas</w:t>
      </w:r>
      <w:r w:rsidRPr="00F955EE">
        <w:rPr>
          <w:lang w:val="es-ES"/>
        </w:rPr>
        <w:t xml:space="preserve"> ante fedatario público</w:t>
      </w:r>
      <w:r w:rsidRPr="00F955EE">
        <w:rPr>
          <w:rStyle w:val="Refdenotaalpie"/>
          <w:lang w:val="es-ES"/>
        </w:rPr>
        <w:footnoteReference w:id="11"/>
      </w:r>
      <w:r w:rsidR="00CA0E25">
        <w:rPr>
          <w:lang w:val="es-ES"/>
        </w:rPr>
        <w:t>,</w:t>
      </w:r>
      <w:r w:rsidRPr="00F955EE">
        <w:rPr>
          <w:lang w:val="es-ES"/>
        </w:rPr>
        <w:t xml:space="preserve"> en cuanto se ajustan al objeto definido por </w:t>
      </w:r>
      <w:r w:rsidR="001F53FB" w:rsidRPr="00F955EE">
        <w:rPr>
          <w:lang w:val="es-ES"/>
        </w:rPr>
        <w:t>la</w:t>
      </w:r>
      <w:r w:rsidRPr="00F955EE">
        <w:rPr>
          <w:lang w:val="es-ES"/>
        </w:rPr>
        <w:t xml:space="preserve"> Presiden</w:t>
      </w:r>
      <w:r w:rsidR="001F53FB" w:rsidRPr="00F955EE">
        <w:rPr>
          <w:lang w:val="es-ES"/>
        </w:rPr>
        <w:t>cia</w:t>
      </w:r>
      <w:r w:rsidRPr="00F955EE">
        <w:rPr>
          <w:lang w:val="es-ES"/>
        </w:rPr>
        <w:t xml:space="preserve"> en la Resolución que ordenó recibirlos</w:t>
      </w:r>
      <w:r w:rsidRPr="00F955EE">
        <w:rPr>
          <w:vertAlign w:val="superscript"/>
          <w:lang w:val="es-ES"/>
        </w:rPr>
        <w:footnoteReference w:id="12"/>
      </w:r>
      <w:r w:rsidRPr="00F955EE">
        <w:rPr>
          <w:lang w:val="es-ES"/>
        </w:rPr>
        <w:t>.</w:t>
      </w:r>
    </w:p>
    <w:p w14:paraId="07D02258" w14:textId="77777777" w:rsidR="00616A72" w:rsidRPr="00F955EE" w:rsidRDefault="00616A72" w:rsidP="00616A72">
      <w:pPr>
        <w:widowControl/>
        <w:tabs>
          <w:tab w:val="left" w:pos="567"/>
        </w:tabs>
        <w:autoSpaceDE w:val="0"/>
        <w:autoSpaceDN w:val="0"/>
        <w:textAlignment w:val="auto"/>
        <w:rPr>
          <w:lang w:val="es-ES"/>
        </w:rPr>
      </w:pPr>
    </w:p>
    <w:p w14:paraId="56C24A2E" w14:textId="17A52615" w:rsidR="00616A72" w:rsidRPr="00F955EE" w:rsidRDefault="008E360D" w:rsidP="004F0770">
      <w:pPr>
        <w:widowControl/>
        <w:numPr>
          <w:ilvl w:val="0"/>
          <w:numId w:val="4"/>
        </w:numPr>
        <w:tabs>
          <w:tab w:val="left" w:pos="567"/>
          <w:tab w:val="num" w:pos="1569"/>
          <w:tab w:val="num" w:pos="12305"/>
        </w:tabs>
        <w:autoSpaceDE w:val="0"/>
        <w:autoSpaceDN w:val="0"/>
        <w:ind w:left="0" w:firstLine="0"/>
        <w:textAlignment w:val="auto"/>
        <w:rPr>
          <w:lang w:val="es-ES"/>
        </w:rPr>
      </w:pPr>
      <w:r w:rsidRPr="00F955EE">
        <w:rPr>
          <w:lang w:val="es-ES"/>
        </w:rPr>
        <w:t xml:space="preserve">Por otro lado, con respecto al peritaje </w:t>
      </w:r>
      <w:r w:rsidR="00966891">
        <w:rPr>
          <w:lang w:val="es-ES"/>
        </w:rPr>
        <w:t xml:space="preserve">escrito </w:t>
      </w:r>
      <w:r w:rsidRPr="00F955EE">
        <w:rPr>
          <w:lang w:val="es-ES"/>
        </w:rPr>
        <w:t>del señor César Francisco Cañizares ofrecido por el representante, l</w:t>
      </w:r>
      <w:r w:rsidR="00616A72" w:rsidRPr="00F955EE">
        <w:rPr>
          <w:lang w:val="es-ES"/>
        </w:rPr>
        <w:t xml:space="preserve">a Corte hace constar que </w:t>
      </w:r>
      <w:r w:rsidRPr="00F955EE">
        <w:rPr>
          <w:lang w:val="es-ES"/>
        </w:rPr>
        <w:t xml:space="preserve">éste </w:t>
      </w:r>
      <w:r w:rsidR="00616A72" w:rsidRPr="00F955EE">
        <w:rPr>
          <w:lang w:val="es-ES"/>
        </w:rPr>
        <w:t xml:space="preserve">no </w:t>
      </w:r>
      <w:r w:rsidRPr="00F955EE">
        <w:rPr>
          <w:lang w:val="es-ES"/>
        </w:rPr>
        <w:t xml:space="preserve">fue </w:t>
      </w:r>
      <w:r w:rsidR="00616A72" w:rsidRPr="00F955EE">
        <w:rPr>
          <w:lang w:val="es-ES"/>
        </w:rPr>
        <w:t>presentado dentro del plazo otorgado</w:t>
      </w:r>
      <w:r w:rsidRPr="00F955EE">
        <w:rPr>
          <w:lang w:val="es-ES"/>
        </w:rPr>
        <w:t xml:space="preserve"> a estos efectos</w:t>
      </w:r>
      <w:r w:rsidR="00616A72" w:rsidRPr="00F955EE">
        <w:rPr>
          <w:lang w:val="es-ES"/>
        </w:rPr>
        <w:t xml:space="preserve">. Posteriormente, el representante desistió del mismo indicando que el objeto </w:t>
      </w:r>
      <w:r w:rsidRPr="00F955EE">
        <w:rPr>
          <w:lang w:val="es-ES"/>
        </w:rPr>
        <w:t>de dicho peritaje</w:t>
      </w:r>
      <w:r w:rsidR="00616A72" w:rsidRPr="00F955EE">
        <w:rPr>
          <w:lang w:val="es-ES"/>
        </w:rPr>
        <w:t xml:space="preserve"> ya sería tratado por el perito Pablo Ceriani, </w:t>
      </w:r>
      <w:r w:rsidRPr="00F955EE">
        <w:rPr>
          <w:lang w:val="es-ES"/>
        </w:rPr>
        <w:t xml:space="preserve">ofrecido por la Comisión, </w:t>
      </w:r>
      <w:r w:rsidR="00616A72" w:rsidRPr="00F955EE">
        <w:rPr>
          <w:lang w:val="es-ES"/>
        </w:rPr>
        <w:t>de manera que sería “redundante</w:t>
      </w:r>
      <w:r w:rsidRPr="00F955EE">
        <w:rPr>
          <w:lang w:val="es-ES"/>
        </w:rPr>
        <w:t>”</w:t>
      </w:r>
      <w:r w:rsidR="00616A72" w:rsidRPr="00F955EE">
        <w:rPr>
          <w:lang w:val="es-ES"/>
        </w:rPr>
        <w:t xml:space="preserve"> el análisis que iba a hacer</w:t>
      </w:r>
      <w:r w:rsidRPr="00F955EE">
        <w:rPr>
          <w:lang w:val="es-ES"/>
        </w:rPr>
        <w:t xml:space="preserve"> dicho perito</w:t>
      </w:r>
      <w:r w:rsidR="00616A72" w:rsidRPr="00F955EE">
        <w:rPr>
          <w:lang w:val="es-ES"/>
        </w:rPr>
        <w:t>. Asimismo, con respecto al peritaje del señor Miguel Eugenio Méndez Rojas</w:t>
      </w:r>
      <w:r w:rsidRPr="00F955EE">
        <w:rPr>
          <w:lang w:val="es-ES"/>
        </w:rPr>
        <w:t xml:space="preserve"> ofrecido por el representante</w:t>
      </w:r>
      <w:r w:rsidR="00616A72" w:rsidRPr="00F955EE">
        <w:rPr>
          <w:lang w:val="es-ES"/>
        </w:rPr>
        <w:t xml:space="preserve">, la Corte hace constar que el mismo fue admitido para ser rendido en audiencia pública. Sin embargo, </w:t>
      </w:r>
      <w:r w:rsidR="007E2F6D" w:rsidRPr="00F955EE">
        <w:rPr>
          <w:lang w:val="es-ES"/>
        </w:rPr>
        <w:t xml:space="preserve">el 30 de enero de 2020 </w:t>
      </w:r>
      <w:r w:rsidR="00616A72" w:rsidRPr="00F955EE">
        <w:rPr>
          <w:lang w:val="es-ES"/>
        </w:rPr>
        <w:t>el representante manifestó que</w:t>
      </w:r>
      <w:r w:rsidR="00CA349D" w:rsidRPr="00F955EE">
        <w:rPr>
          <w:lang w:val="es-ES"/>
        </w:rPr>
        <w:t xml:space="preserve">, </w:t>
      </w:r>
      <w:r w:rsidR="00616A72" w:rsidRPr="00F955EE">
        <w:rPr>
          <w:lang w:val="es-ES"/>
        </w:rPr>
        <w:t>debido a una “calamidad doméstica surgida de manera imprevista”</w:t>
      </w:r>
      <w:r w:rsidR="00CA349D" w:rsidRPr="00F955EE">
        <w:rPr>
          <w:lang w:val="es-ES"/>
        </w:rPr>
        <w:t xml:space="preserve">, </w:t>
      </w:r>
      <w:r w:rsidR="00616A72" w:rsidRPr="00F955EE">
        <w:rPr>
          <w:lang w:val="es-ES"/>
        </w:rPr>
        <w:t xml:space="preserve">no iba a ser posible su presencia en la audiencia. En virtud de ello, remitió su peritaje mediante declaración ante fedatario público sin solicitar el cambio de modalidad en el momento procesal </w:t>
      </w:r>
      <w:r w:rsidR="00616A72" w:rsidRPr="00F955EE">
        <w:rPr>
          <w:lang w:val="es-ES"/>
        </w:rPr>
        <w:lastRenderedPageBreak/>
        <w:t xml:space="preserve">oportuno. </w:t>
      </w:r>
      <w:r w:rsidR="00BC336E" w:rsidRPr="00F955EE">
        <w:rPr>
          <w:lang w:val="es-ES"/>
        </w:rPr>
        <w:t>A la vista</w:t>
      </w:r>
      <w:r w:rsidR="00616A72" w:rsidRPr="00F955EE">
        <w:rPr>
          <w:lang w:val="es-ES"/>
        </w:rPr>
        <w:t xml:space="preserve"> de lo anterior,</w:t>
      </w:r>
      <w:r w:rsidR="007E2F6D" w:rsidRPr="00F955EE">
        <w:rPr>
          <w:lang w:val="es-ES"/>
        </w:rPr>
        <w:t xml:space="preserve"> y</w:t>
      </w:r>
      <w:r w:rsidR="00616A72" w:rsidRPr="00F955EE">
        <w:rPr>
          <w:lang w:val="es-ES"/>
        </w:rPr>
        <w:t xml:space="preserve"> en aras de garantizar el </w:t>
      </w:r>
      <w:r w:rsidR="00CA349D" w:rsidRPr="00F955EE">
        <w:rPr>
          <w:lang w:val="es-ES"/>
        </w:rPr>
        <w:t xml:space="preserve">pleno respeto al </w:t>
      </w:r>
      <w:r w:rsidR="00616A72" w:rsidRPr="00F955EE">
        <w:rPr>
          <w:lang w:val="es-ES"/>
        </w:rPr>
        <w:t xml:space="preserve">principio contradictorio, el debido proceso y el principio de igualdad de armas, mediante comunicación de 31 de enero de 2020, dicho peritaje fue declarado inadmisible. </w:t>
      </w:r>
    </w:p>
    <w:p w14:paraId="76A4BA19" w14:textId="77777777" w:rsidR="00616A72" w:rsidRPr="00F955EE" w:rsidRDefault="00616A72" w:rsidP="00CD42CE">
      <w:pPr>
        <w:widowControl/>
        <w:tabs>
          <w:tab w:val="left" w:pos="567"/>
        </w:tabs>
        <w:autoSpaceDE w:val="0"/>
        <w:autoSpaceDN w:val="0"/>
        <w:textAlignment w:val="auto"/>
        <w:rPr>
          <w:lang w:val="es-ES"/>
        </w:rPr>
      </w:pPr>
    </w:p>
    <w:p w14:paraId="03ED1515" w14:textId="522BADED" w:rsidR="00B80AB9" w:rsidRPr="00F955EE" w:rsidRDefault="00616A72" w:rsidP="004F0770">
      <w:pPr>
        <w:widowControl/>
        <w:numPr>
          <w:ilvl w:val="0"/>
          <w:numId w:val="4"/>
        </w:numPr>
        <w:tabs>
          <w:tab w:val="left" w:pos="567"/>
          <w:tab w:val="num" w:pos="1569"/>
          <w:tab w:val="num" w:pos="12305"/>
        </w:tabs>
        <w:autoSpaceDE w:val="0"/>
        <w:autoSpaceDN w:val="0"/>
        <w:ind w:left="0" w:firstLine="0"/>
        <w:textAlignment w:val="auto"/>
        <w:rPr>
          <w:lang w:val="es-ES"/>
        </w:rPr>
      </w:pPr>
      <w:r w:rsidRPr="00F955EE">
        <w:rPr>
          <w:lang w:val="es-ES"/>
        </w:rPr>
        <w:t xml:space="preserve">Con respecto al peritaje </w:t>
      </w:r>
      <w:r w:rsidR="007E2F6D" w:rsidRPr="00F955EE">
        <w:rPr>
          <w:lang w:val="es-ES"/>
        </w:rPr>
        <w:t>d</w:t>
      </w:r>
      <w:r w:rsidRPr="00F955EE">
        <w:rPr>
          <w:lang w:val="es-ES"/>
        </w:rPr>
        <w:t>el señor Pablo Ceriani</w:t>
      </w:r>
      <w:r w:rsidR="007E2F6D" w:rsidRPr="00F955EE">
        <w:rPr>
          <w:lang w:val="es-ES"/>
        </w:rPr>
        <w:t xml:space="preserve"> propuesto por la Comisión,</w:t>
      </w:r>
      <w:r w:rsidRPr="00F955EE">
        <w:rPr>
          <w:lang w:val="es-ES"/>
        </w:rPr>
        <w:t xml:space="preserve"> la Corte nota que el </w:t>
      </w:r>
      <w:r w:rsidR="007E2F6D" w:rsidRPr="00F955EE">
        <w:rPr>
          <w:lang w:val="es-ES"/>
        </w:rPr>
        <w:t>28 de enero de 2020</w:t>
      </w:r>
      <w:r w:rsidR="00843C47" w:rsidRPr="00F955EE">
        <w:rPr>
          <w:lang w:val="es-ES"/>
        </w:rPr>
        <w:t xml:space="preserve"> la Comisión remitió dicho peritaje</w:t>
      </w:r>
      <w:r w:rsidR="007E2F6D" w:rsidRPr="00F955EE">
        <w:rPr>
          <w:lang w:val="es-ES"/>
        </w:rPr>
        <w:t xml:space="preserve"> </w:t>
      </w:r>
      <w:r w:rsidR="00843C47" w:rsidRPr="00F955EE">
        <w:rPr>
          <w:lang w:val="es-ES"/>
        </w:rPr>
        <w:t xml:space="preserve">sin que constaran </w:t>
      </w:r>
      <w:r w:rsidRPr="00F955EE">
        <w:rPr>
          <w:lang w:val="es-ES"/>
        </w:rPr>
        <w:t xml:space="preserve">las respuestas a las preguntas sometidas por el Estado y oportunamente admitidas. </w:t>
      </w:r>
      <w:r w:rsidR="007E2F6D" w:rsidRPr="00F955EE">
        <w:rPr>
          <w:lang w:val="es-ES"/>
        </w:rPr>
        <w:t>Al respecto</w:t>
      </w:r>
      <w:r w:rsidRPr="00F955EE">
        <w:rPr>
          <w:lang w:val="es-ES"/>
        </w:rPr>
        <w:t xml:space="preserve">, </w:t>
      </w:r>
      <w:r w:rsidR="007E2F6D" w:rsidRPr="00F955EE">
        <w:rPr>
          <w:lang w:val="es-ES"/>
        </w:rPr>
        <w:t xml:space="preserve">el 3 de febrero de 2020 </w:t>
      </w:r>
      <w:r w:rsidRPr="00F955EE">
        <w:rPr>
          <w:lang w:val="es-ES"/>
        </w:rPr>
        <w:t xml:space="preserve">el Estado de Nicaragua </w:t>
      </w:r>
      <w:r w:rsidR="007E2F6D" w:rsidRPr="00F955EE">
        <w:rPr>
          <w:lang w:val="es-ES"/>
        </w:rPr>
        <w:t>remitió un escrito en virtud del cual solicitó</w:t>
      </w:r>
      <w:r w:rsidRPr="00F955EE">
        <w:rPr>
          <w:lang w:val="es-ES"/>
        </w:rPr>
        <w:t xml:space="preserve"> que no </w:t>
      </w:r>
      <w:r w:rsidR="00CA349D" w:rsidRPr="00F955EE">
        <w:rPr>
          <w:lang w:val="es-ES"/>
        </w:rPr>
        <w:t>fuera</w:t>
      </w:r>
      <w:r w:rsidRPr="00F955EE">
        <w:rPr>
          <w:lang w:val="es-ES"/>
        </w:rPr>
        <w:t xml:space="preserve"> </w:t>
      </w:r>
      <w:r w:rsidR="007E2F6D" w:rsidRPr="00F955EE">
        <w:rPr>
          <w:lang w:val="es-ES"/>
        </w:rPr>
        <w:t>admitido</w:t>
      </w:r>
      <w:r w:rsidRPr="00F955EE">
        <w:rPr>
          <w:lang w:val="es-ES"/>
        </w:rPr>
        <w:t xml:space="preserve"> </w:t>
      </w:r>
      <w:r w:rsidR="007E2F6D" w:rsidRPr="00F955EE">
        <w:rPr>
          <w:lang w:val="es-ES"/>
        </w:rPr>
        <w:t xml:space="preserve">dicho peritaje </w:t>
      </w:r>
      <w:r w:rsidRPr="00F955EE">
        <w:rPr>
          <w:lang w:val="es-ES"/>
        </w:rPr>
        <w:t xml:space="preserve">en tanto, según indicó, “no se realizó conforme el procedimiento contradictorio ordenado por este Tribunal”. </w:t>
      </w:r>
      <w:r w:rsidR="001F53FB" w:rsidRPr="00F955EE">
        <w:rPr>
          <w:lang w:val="es-ES"/>
        </w:rPr>
        <w:t>Sobre el particular</w:t>
      </w:r>
      <w:r w:rsidRPr="00F955EE">
        <w:rPr>
          <w:lang w:val="es-ES"/>
        </w:rPr>
        <w:t xml:space="preserve">, </w:t>
      </w:r>
      <w:r w:rsidR="007E2F6D" w:rsidRPr="00F955EE">
        <w:rPr>
          <w:lang w:val="es-ES"/>
        </w:rPr>
        <w:t xml:space="preserve">el 4 de febrero de 2020 </w:t>
      </w:r>
      <w:r w:rsidRPr="00F955EE">
        <w:rPr>
          <w:lang w:val="es-ES"/>
        </w:rPr>
        <w:t xml:space="preserve">la Comisión </w:t>
      </w:r>
      <w:r w:rsidR="007E2F6D" w:rsidRPr="00F955EE">
        <w:rPr>
          <w:lang w:val="es-ES"/>
        </w:rPr>
        <w:t>remitió dos escritos manifestando</w:t>
      </w:r>
      <w:r w:rsidRPr="00F955EE">
        <w:rPr>
          <w:lang w:val="es-ES"/>
        </w:rPr>
        <w:t xml:space="preserve"> no haber recibido la comunicación por medio de la cual esta Corte traslad</w:t>
      </w:r>
      <w:r w:rsidR="005011A0" w:rsidRPr="00F955EE">
        <w:rPr>
          <w:lang w:val="es-ES"/>
        </w:rPr>
        <w:t>ó</w:t>
      </w:r>
      <w:r w:rsidRPr="00F955EE">
        <w:rPr>
          <w:lang w:val="es-ES"/>
        </w:rPr>
        <w:t xml:space="preserve"> las preguntas realizadas por el Estado. Sin embargo, la Corte constató que dicha comunicación s</w:t>
      </w:r>
      <w:r w:rsidR="00935AEC" w:rsidRPr="00F955EE">
        <w:rPr>
          <w:lang w:val="es-ES"/>
        </w:rPr>
        <w:t>í</w:t>
      </w:r>
      <w:r w:rsidRPr="00F955EE">
        <w:rPr>
          <w:lang w:val="es-ES"/>
        </w:rPr>
        <w:t xml:space="preserve"> fue transmitida a la Comisión sin que se generara algún tipo </w:t>
      </w:r>
      <w:r w:rsidR="00CA349D" w:rsidRPr="00F955EE">
        <w:rPr>
          <w:lang w:val="es-ES"/>
        </w:rPr>
        <w:t xml:space="preserve">aviso de </w:t>
      </w:r>
      <w:r w:rsidRPr="00F955EE">
        <w:rPr>
          <w:lang w:val="es-ES"/>
        </w:rPr>
        <w:t>error</w:t>
      </w:r>
      <w:r w:rsidR="00CA349D" w:rsidRPr="00F955EE">
        <w:rPr>
          <w:lang w:val="es-ES"/>
        </w:rPr>
        <w:t xml:space="preserve"> de envío</w:t>
      </w:r>
      <w:r w:rsidRPr="00F955EE">
        <w:rPr>
          <w:lang w:val="es-ES"/>
        </w:rPr>
        <w:t xml:space="preserve">, razón por la </w:t>
      </w:r>
      <w:r w:rsidR="00392178" w:rsidRPr="00F955EE">
        <w:rPr>
          <w:lang w:val="es-ES"/>
        </w:rPr>
        <w:t>cual,</w:t>
      </w:r>
      <w:r w:rsidRPr="00F955EE">
        <w:rPr>
          <w:lang w:val="es-ES"/>
        </w:rPr>
        <w:t xml:space="preserve"> mediante comunicación de </w:t>
      </w:r>
      <w:r w:rsidR="007E2F6D" w:rsidRPr="00F955EE">
        <w:rPr>
          <w:lang w:val="es-ES"/>
        </w:rPr>
        <w:t>20</w:t>
      </w:r>
      <w:r w:rsidRPr="00F955EE">
        <w:rPr>
          <w:lang w:val="es-ES"/>
        </w:rPr>
        <w:t xml:space="preserve"> de febrero de 2020, la Corte informó que no se daría nuevamente traslado a las preguntas formuladas por el Estado. </w:t>
      </w:r>
    </w:p>
    <w:p w14:paraId="6867ECE5" w14:textId="77777777" w:rsidR="00B80AB9" w:rsidRPr="00F955EE" w:rsidRDefault="00B80AB9" w:rsidP="00B80AB9">
      <w:pPr>
        <w:widowControl/>
        <w:tabs>
          <w:tab w:val="left" w:pos="567"/>
        </w:tabs>
        <w:autoSpaceDE w:val="0"/>
        <w:autoSpaceDN w:val="0"/>
        <w:textAlignment w:val="auto"/>
        <w:rPr>
          <w:lang w:val="es-ES"/>
        </w:rPr>
      </w:pPr>
    </w:p>
    <w:p w14:paraId="34C63BCC" w14:textId="6535E500" w:rsidR="00EA156D" w:rsidRPr="00F955EE" w:rsidRDefault="00616A72" w:rsidP="004F0770">
      <w:pPr>
        <w:widowControl/>
        <w:numPr>
          <w:ilvl w:val="0"/>
          <w:numId w:val="4"/>
        </w:numPr>
        <w:tabs>
          <w:tab w:val="left" w:pos="567"/>
          <w:tab w:val="num" w:pos="1569"/>
          <w:tab w:val="num" w:pos="12305"/>
        </w:tabs>
        <w:autoSpaceDE w:val="0"/>
        <w:autoSpaceDN w:val="0"/>
        <w:ind w:left="0" w:firstLine="0"/>
        <w:textAlignment w:val="auto"/>
        <w:rPr>
          <w:lang w:val="es-ES"/>
        </w:rPr>
      </w:pPr>
      <w:r w:rsidRPr="00F955EE">
        <w:rPr>
          <w:lang w:val="es-ES"/>
        </w:rPr>
        <w:t xml:space="preserve">Considerando lo anterior, la Corte recuerda que el hecho de que se encuentre contemplado en el Reglamento la posibilidad de que las partes puedan formular preguntas por escrito a las personas ofrecidas como declarantes por la </w:t>
      </w:r>
      <w:r w:rsidR="00BE4C1F" w:rsidRPr="00F955EE">
        <w:rPr>
          <w:lang w:val="es-ES"/>
        </w:rPr>
        <w:t>Comisión</w:t>
      </w:r>
      <w:r w:rsidRPr="00F955EE">
        <w:rPr>
          <w:lang w:val="es-ES"/>
        </w:rPr>
        <w:t xml:space="preserve"> impone el deber correlativo de la parte que ofreció la declaración de coordinar y realizar las diligencias necesarias para que se trasladen las preguntas a las personas declarantes y se incluyan las respuestas respectivas</w:t>
      </w:r>
      <w:r w:rsidRPr="00F955EE">
        <w:rPr>
          <w:rStyle w:val="Refdenotaalpie"/>
          <w:lang w:val="es-ES"/>
        </w:rPr>
        <w:footnoteReference w:id="13"/>
      </w:r>
      <w:r w:rsidRPr="00F955EE">
        <w:rPr>
          <w:lang w:val="es-ES"/>
        </w:rPr>
        <w:t xml:space="preserve">. </w:t>
      </w:r>
      <w:r w:rsidR="00A2376A" w:rsidRPr="00F955EE">
        <w:rPr>
          <w:lang w:val="es-ES"/>
        </w:rPr>
        <w:t>Sin perjuicio de ello, este Tribunal considera que la no presentación de respuestas a las preguntas de la contraparte no afecta a la admisibilidad de una declaración y es un aspecto que, según los alcances de los silencios de un declarante, podría llegar a impactar en el peso probatorio que puede alcanzar una declaración o un peritaje, aspecto que corresponde valorar en el fondo del caso</w:t>
      </w:r>
      <w:r w:rsidR="00A2376A" w:rsidRPr="00F955EE">
        <w:rPr>
          <w:rStyle w:val="Refdenotaalpie"/>
          <w:lang w:val="es-ES"/>
        </w:rPr>
        <w:footnoteReference w:id="14"/>
      </w:r>
      <w:r w:rsidR="00A2376A" w:rsidRPr="00F955EE">
        <w:rPr>
          <w:lang w:val="es-ES"/>
        </w:rPr>
        <w:t>. Por lo tanto, este Tribunal admite el referido peritaje.</w:t>
      </w:r>
    </w:p>
    <w:p w14:paraId="753FE50D" w14:textId="68D66F73" w:rsidR="008E0797" w:rsidRPr="00F955EE" w:rsidRDefault="00467516" w:rsidP="001D7534">
      <w:pPr>
        <w:pStyle w:val="Ttulo1"/>
        <w:rPr>
          <w:lang w:val="es-ES"/>
        </w:rPr>
      </w:pPr>
      <w:bookmarkStart w:id="25" w:name="_Toc43216147"/>
      <w:r w:rsidRPr="00F955EE">
        <w:rPr>
          <w:lang w:val="es-ES"/>
        </w:rPr>
        <w:t>V</w:t>
      </w:r>
      <w:r w:rsidRPr="00F955EE">
        <w:rPr>
          <w:lang w:val="es-ES"/>
        </w:rPr>
        <w:br/>
        <w:t>HECHOS</w:t>
      </w:r>
      <w:bookmarkEnd w:id="1"/>
      <w:bookmarkEnd w:id="2"/>
      <w:bookmarkEnd w:id="3"/>
      <w:bookmarkEnd w:id="4"/>
      <w:bookmarkEnd w:id="25"/>
      <w:r w:rsidRPr="00F955EE">
        <w:rPr>
          <w:lang w:val="es-ES"/>
        </w:rPr>
        <w:t xml:space="preserve"> </w:t>
      </w:r>
    </w:p>
    <w:p w14:paraId="5472EE78" w14:textId="6F427E7D" w:rsidR="00BF590B" w:rsidRPr="00F955EE" w:rsidRDefault="00BF590B" w:rsidP="004F0770">
      <w:pPr>
        <w:numPr>
          <w:ilvl w:val="0"/>
          <w:numId w:val="4"/>
        </w:numPr>
        <w:tabs>
          <w:tab w:val="left" w:pos="567"/>
          <w:tab w:val="num" w:pos="1569"/>
          <w:tab w:val="num" w:pos="12305"/>
        </w:tabs>
        <w:ind w:left="0" w:firstLine="0"/>
        <w:rPr>
          <w:lang w:val="es-ES"/>
        </w:rPr>
      </w:pPr>
      <w:r w:rsidRPr="00F955EE">
        <w:rPr>
          <w:lang w:val="es-ES"/>
        </w:rPr>
        <w:t xml:space="preserve">En este capítulo, la Corte establecerá los hechos del caso con base </w:t>
      </w:r>
      <w:r w:rsidR="00217858">
        <w:rPr>
          <w:lang w:val="es-ES"/>
        </w:rPr>
        <w:t>en e</w:t>
      </w:r>
      <w:r w:rsidRPr="00F955EE">
        <w:rPr>
          <w:lang w:val="es-ES"/>
        </w:rPr>
        <w:t xml:space="preserve">l marco fáctico </w:t>
      </w:r>
      <w:r w:rsidRPr="00F955EE">
        <w:rPr>
          <w:rFonts w:cs="Calibri"/>
          <w:lang w:val="es-ES"/>
        </w:rPr>
        <w:t>sometido</w:t>
      </w:r>
      <w:r w:rsidRPr="00F955EE">
        <w:rPr>
          <w:lang w:val="es-ES"/>
        </w:rPr>
        <w:t xml:space="preserve"> al conocimiento de la Corte por la Comisión Interamericana, en relación con </w:t>
      </w:r>
      <w:r w:rsidR="00416AAE" w:rsidRPr="00F955EE">
        <w:rPr>
          <w:lang w:val="es-ES"/>
        </w:rPr>
        <w:t>(i)</w:t>
      </w:r>
      <w:r w:rsidR="008E0797" w:rsidRPr="00F955EE">
        <w:rPr>
          <w:lang w:val="es-ES"/>
        </w:rPr>
        <w:t xml:space="preserve"> la muerte del señor Pedro Bacilio Roche Azaña y las lesiones sufridas por su hermano</w:t>
      </w:r>
      <w:r w:rsidRPr="00F955EE">
        <w:rPr>
          <w:lang w:val="es-ES"/>
        </w:rPr>
        <w:t xml:space="preserve"> </w:t>
      </w:r>
      <w:r w:rsidR="00CA349D" w:rsidRPr="00F955EE">
        <w:rPr>
          <w:lang w:val="es-ES"/>
        </w:rPr>
        <w:t xml:space="preserve">Patricio Fernando </w:t>
      </w:r>
      <w:r w:rsidR="00EE0CD0" w:rsidRPr="00F955EE">
        <w:rPr>
          <w:lang w:val="es-ES"/>
        </w:rPr>
        <w:t xml:space="preserve">y </w:t>
      </w:r>
      <w:r w:rsidR="00416AAE" w:rsidRPr="00F955EE">
        <w:rPr>
          <w:lang w:val="es-ES"/>
        </w:rPr>
        <w:t>(ii)</w:t>
      </w:r>
      <w:r w:rsidR="008E0797" w:rsidRPr="00F955EE">
        <w:rPr>
          <w:lang w:val="es-ES"/>
        </w:rPr>
        <w:t xml:space="preserve"> el procedimiento judicial penal seguido contra los autores de los disparos proferidos a la furgoneta</w:t>
      </w:r>
      <w:r w:rsidRPr="00F955EE">
        <w:rPr>
          <w:lang w:val="es-ES"/>
        </w:rPr>
        <w:t>.</w:t>
      </w:r>
    </w:p>
    <w:p w14:paraId="58335446" w14:textId="3C414FAC" w:rsidR="00BF590B" w:rsidRPr="00F955EE" w:rsidRDefault="00DB07DF" w:rsidP="00DB07DF">
      <w:pPr>
        <w:tabs>
          <w:tab w:val="left" w:pos="2475"/>
        </w:tabs>
        <w:rPr>
          <w:lang w:val="es-ES"/>
        </w:rPr>
      </w:pPr>
      <w:r w:rsidRPr="00F955EE">
        <w:rPr>
          <w:lang w:val="es-ES"/>
        </w:rPr>
        <w:tab/>
      </w:r>
    </w:p>
    <w:p w14:paraId="4434E3BC" w14:textId="7BD58CCA" w:rsidR="00BF590B" w:rsidRPr="00F955EE" w:rsidRDefault="00CD0D65" w:rsidP="004F0770">
      <w:pPr>
        <w:pStyle w:val="Ttulo2"/>
        <w:numPr>
          <w:ilvl w:val="0"/>
          <w:numId w:val="8"/>
        </w:numPr>
        <w:spacing w:before="0" w:after="0"/>
        <w:rPr>
          <w:lang w:val="es-ES"/>
        </w:rPr>
      </w:pPr>
      <w:bookmarkStart w:id="26" w:name="_Toc43216148"/>
      <w:r w:rsidRPr="00F955EE">
        <w:rPr>
          <w:lang w:val="es-ES"/>
        </w:rPr>
        <w:t>Muerte de Pedro Bacilio Roche Azaña y lesiones de Patricio Fernando Roche Azaña</w:t>
      </w:r>
      <w:bookmarkEnd w:id="26"/>
    </w:p>
    <w:p w14:paraId="6CF7C736" w14:textId="77777777" w:rsidR="00CD0D65" w:rsidRPr="00F955EE" w:rsidRDefault="00CD0D65" w:rsidP="00CD0D65">
      <w:pPr>
        <w:widowControl/>
        <w:tabs>
          <w:tab w:val="left" w:pos="567"/>
        </w:tabs>
        <w:autoSpaceDE w:val="0"/>
        <w:autoSpaceDN w:val="0"/>
        <w:adjustRightInd/>
        <w:ind w:right="-90"/>
        <w:textAlignment w:val="auto"/>
        <w:rPr>
          <w:lang w:val="es-ES"/>
        </w:rPr>
      </w:pPr>
    </w:p>
    <w:p w14:paraId="07C1CBFA" w14:textId="71ED539A" w:rsidR="001A3CDD" w:rsidRPr="00F955EE" w:rsidRDefault="008F70C3" w:rsidP="004F0770">
      <w:pPr>
        <w:widowControl/>
        <w:numPr>
          <w:ilvl w:val="0"/>
          <w:numId w:val="4"/>
        </w:numPr>
        <w:tabs>
          <w:tab w:val="left" w:pos="567"/>
          <w:tab w:val="num" w:pos="1569"/>
          <w:tab w:val="num" w:pos="12305"/>
        </w:tabs>
        <w:autoSpaceDE w:val="0"/>
        <w:autoSpaceDN w:val="0"/>
        <w:adjustRightInd/>
        <w:ind w:left="0" w:right="-90" w:firstLine="0"/>
        <w:textAlignment w:val="auto"/>
        <w:rPr>
          <w:lang w:val="es-ES"/>
        </w:rPr>
      </w:pPr>
      <w:r w:rsidRPr="00F955EE">
        <w:rPr>
          <w:lang w:val="es-ES"/>
        </w:rPr>
        <w:t xml:space="preserve">Los hermanos Roche Azaña vivían junto con sus padres en la provincia de Azuay, </w:t>
      </w:r>
      <w:r w:rsidR="00AC766E" w:rsidRPr="00F955EE">
        <w:rPr>
          <w:lang w:val="es-ES"/>
        </w:rPr>
        <w:t>cantón</w:t>
      </w:r>
      <w:r w:rsidRPr="00F955EE">
        <w:rPr>
          <w:lang w:val="es-ES"/>
        </w:rPr>
        <w:t xml:space="preserve"> San Fernando, </w:t>
      </w:r>
      <w:r w:rsidR="00A5461C">
        <w:rPr>
          <w:lang w:val="es-ES"/>
        </w:rPr>
        <w:t xml:space="preserve">República de </w:t>
      </w:r>
      <w:r w:rsidRPr="00F955EE">
        <w:rPr>
          <w:lang w:val="es-ES"/>
        </w:rPr>
        <w:t>Ecuador</w:t>
      </w:r>
      <w:r w:rsidRPr="00F955EE">
        <w:rPr>
          <w:rStyle w:val="Refdenotaalpie"/>
          <w:lang w:val="es-ES"/>
        </w:rPr>
        <w:footnoteReference w:id="15"/>
      </w:r>
      <w:r w:rsidRPr="00F955EE">
        <w:rPr>
          <w:lang w:val="es-ES"/>
        </w:rPr>
        <w:t xml:space="preserve">. </w:t>
      </w:r>
      <w:r w:rsidR="008E0797" w:rsidRPr="00F955EE">
        <w:rPr>
          <w:lang w:val="es-ES"/>
        </w:rPr>
        <w:t xml:space="preserve">Pedro Bacilio Roche Azaña tenía 20 años al momento de los hechos y su hermano </w:t>
      </w:r>
      <w:r w:rsidR="008209D4" w:rsidRPr="00F955EE">
        <w:rPr>
          <w:lang w:val="es-ES"/>
        </w:rPr>
        <w:t xml:space="preserve">Patricio Fernando Roche Azaña </w:t>
      </w:r>
      <w:r w:rsidR="008E0797" w:rsidRPr="00F955EE">
        <w:rPr>
          <w:lang w:val="es-ES"/>
        </w:rPr>
        <w:t>22</w:t>
      </w:r>
      <w:r w:rsidR="008E0797" w:rsidRPr="00F955EE">
        <w:rPr>
          <w:rStyle w:val="Refdenotaalpie"/>
          <w:lang w:val="es-ES"/>
        </w:rPr>
        <w:footnoteReference w:id="16"/>
      </w:r>
      <w:r w:rsidR="008E0797" w:rsidRPr="00F955EE">
        <w:rPr>
          <w:lang w:val="es-ES"/>
        </w:rPr>
        <w:t xml:space="preserve">. </w:t>
      </w:r>
      <w:r w:rsidR="00BE7124" w:rsidRPr="00F955EE">
        <w:rPr>
          <w:lang w:val="es-ES"/>
        </w:rPr>
        <w:t xml:space="preserve">El 8 de abril de 1996 iniciaron un viaje </w:t>
      </w:r>
      <w:r w:rsidR="001A3CDD" w:rsidRPr="00F955EE">
        <w:rPr>
          <w:lang w:val="es-ES"/>
        </w:rPr>
        <w:t>con el</w:t>
      </w:r>
      <w:r w:rsidR="00BE7124" w:rsidRPr="00F955EE">
        <w:rPr>
          <w:lang w:val="es-ES"/>
        </w:rPr>
        <w:t xml:space="preserve"> objetivo </w:t>
      </w:r>
      <w:r w:rsidR="001A3CDD" w:rsidRPr="00F955EE">
        <w:rPr>
          <w:lang w:val="es-ES"/>
        </w:rPr>
        <w:t>de</w:t>
      </w:r>
      <w:r w:rsidR="00BE7124" w:rsidRPr="00F955EE">
        <w:rPr>
          <w:lang w:val="es-ES"/>
        </w:rPr>
        <w:t xml:space="preserve"> emigrar a los Estados Unidos</w:t>
      </w:r>
      <w:r w:rsidR="00EF755E">
        <w:rPr>
          <w:lang w:val="es-ES"/>
        </w:rPr>
        <w:t xml:space="preserve"> de América</w:t>
      </w:r>
      <w:r w:rsidR="00BE7124" w:rsidRPr="00F955EE">
        <w:rPr>
          <w:lang w:val="es-ES"/>
        </w:rPr>
        <w:t xml:space="preserve">. De la ciudad de Guayaquil viajaron hasta la República de Panamá, desde donde se trasladaron a Nicaragua. </w:t>
      </w:r>
    </w:p>
    <w:p w14:paraId="205A81ED" w14:textId="77777777" w:rsidR="00F124E8" w:rsidRPr="00F955EE" w:rsidRDefault="00F124E8" w:rsidP="00F124E8">
      <w:pPr>
        <w:widowControl/>
        <w:tabs>
          <w:tab w:val="left" w:pos="567"/>
        </w:tabs>
        <w:autoSpaceDE w:val="0"/>
        <w:autoSpaceDN w:val="0"/>
        <w:adjustRightInd/>
        <w:ind w:right="-90"/>
        <w:textAlignment w:val="auto"/>
        <w:rPr>
          <w:lang w:val="es-ES"/>
        </w:rPr>
      </w:pPr>
    </w:p>
    <w:p w14:paraId="233CF769" w14:textId="77777777" w:rsidR="00966891" w:rsidRDefault="001A3CDD" w:rsidP="004F0770">
      <w:pPr>
        <w:widowControl/>
        <w:numPr>
          <w:ilvl w:val="0"/>
          <w:numId w:val="4"/>
        </w:numPr>
        <w:tabs>
          <w:tab w:val="left" w:pos="567"/>
          <w:tab w:val="num" w:pos="1569"/>
          <w:tab w:val="num" w:pos="12305"/>
        </w:tabs>
        <w:autoSpaceDE w:val="0"/>
        <w:autoSpaceDN w:val="0"/>
        <w:adjustRightInd/>
        <w:ind w:left="0" w:right="-90" w:firstLine="0"/>
        <w:textAlignment w:val="auto"/>
        <w:rPr>
          <w:lang w:val="es-ES"/>
        </w:rPr>
      </w:pPr>
      <w:r w:rsidRPr="00F955EE">
        <w:rPr>
          <w:lang w:val="es-ES"/>
        </w:rPr>
        <w:lastRenderedPageBreak/>
        <w:t>El 14 de abril de 1996 l</w:t>
      </w:r>
      <w:r w:rsidR="00BE7124" w:rsidRPr="00F955EE">
        <w:rPr>
          <w:lang w:val="es-ES"/>
        </w:rPr>
        <w:t xml:space="preserve">os hermanos Roche Azaña llegaron a </w:t>
      </w:r>
      <w:r w:rsidRPr="00F955EE">
        <w:rPr>
          <w:lang w:val="es-ES"/>
        </w:rPr>
        <w:t xml:space="preserve">la capital del país, </w:t>
      </w:r>
      <w:r w:rsidR="00BE7124" w:rsidRPr="00F955EE">
        <w:rPr>
          <w:lang w:val="es-ES"/>
        </w:rPr>
        <w:t>Managua, donde se reunieron con otras 30 personas migrantes, junto con quienes fueron transportados en una furgoneta a la ciudad de Chinandega</w:t>
      </w:r>
      <w:r w:rsidR="001F0A51" w:rsidRPr="00F955EE">
        <w:rPr>
          <w:rStyle w:val="Refdenotaalpie"/>
          <w:lang w:val="es-ES"/>
        </w:rPr>
        <w:footnoteReference w:id="17"/>
      </w:r>
      <w:r w:rsidR="00BE7124" w:rsidRPr="00F955EE">
        <w:rPr>
          <w:lang w:val="es-ES"/>
        </w:rPr>
        <w:t>.</w:t>
      </w:r>
      <w:r w:rsidR="00F124E8" w:rsidRPr="00F955EE">
        <w:rPr>
          <w:lang w:val="es-ES"/>
        </w:rPr>
        <w:t xml:space="preserve"> </w:t>
      </w:r>
      <w:r w:rsidR="008913D5" w:rsidRPr="00F955EE">
        <w:rPr>
          <w:lang w:val="es-ES"/>
        </w:rPr>
        <w:t>La referida furgoneta tenía vidrios polarizados en la parte delantera y en las dos puertas delanteras, así como dos pequeñas venta</w:t>
      </w:r>
      <w:r w:rsidR="002250E1" w:rsidRPr="00F955EE">
        <w:rPr>
          <w:lang w:val="es-ES"/>
        </w:rPr>
        <w:t>nas</w:t>
      </w:r>
      <w:r w:rsidR="008913D5" w:rsidRPr="00F955EE">
        <w:rPr>
          <w:lang w:val="es-ES"/>
        </w:rPr>
        <w:t xml:space="preserve"> en la parte trasera</w:t>
      </w:r>
      <w:r w:rsidR="002250E1" w:rsidRPr="00F955EE">
        <w:rPr>
          <w:rStyle w:val="Refdenotaalpie"/>
          <w:lang w:val="es-ES"/>
        </w:rPr>
        <w:footnoteReference w:id="18"/>
      </w:r>
      <w:r w:rsidR="002250E1" w:rsidRPr="00F955EE">
        <w:rPr>
          <w:lang w:val="es-ES"/>
        </w:rPr>
        <w:t xml:space="preserve">. </w:t>
      </w:r>
    </w:p>
    <w:p w14:paraId="27D1F1E5" w14:textId="77777777" w:rsidR="00966891" w:rsidRDefault="00966891" w:rsidP="00966891">
      <w:pPr>
        <w:widowControl/>
        <w:tabs>
          <w:tab w:val="left" w:pos="567"/>
        </w:tabs>
        <w:autoSpaceDE w:val="0"/>
        <w:autoSpaceDN w:val="0"/>
        <w:adjustRightInd/>
        <w:ind w:right="-90"/>
        <w:textAlignment w:val="auto"/>
        <w:rPr>
          <w:lang w:val="es-ES"/>
        </w:rPr>
      </w:pPr>
    </w:p>
    <w:p w14:paraId="0790163F" w14:textId="20D37B07" w:rsidR="0049149C" w:rsidRPr="00F955EE" w:rsidRDefault="00F92D28" w:rsidP="004F0770">
      <w:pPr>
        <w:widowControl/>
        <w:numPr>
          <w:ilvl w:val="0"/>
          <w:numId w:val="4"/>
        </w:numPr>
        <w:tabs>
          <w:tab w:val="left" w:pos="567"/>
          <w:tab w:val="num" w:pos="1569"/>
          <w:tab w:val="num" w:pos="12305"/>
        </w:tabs>
        <w:autoSpaceDE w:val="0"/>
        <w:autoSpaceDN w:val="0"/>
        <w:adjustRightInd/>
        <w:ind w:left="0" w:right="-90" w:firstLine="0"/>
        <w:textAlignment w:val="auto"/>
        <w:rPr>
          <w:lang w:val="es-ES"/>
        </w:rPr>
      </w:pPr>
      <w:r w:rsidRPr="00F955EE">
        <w:rPr>
          <w:lang w:val="es-ES"/>
        </w:rPr>
        <w:t>A</w:t>
      </w:r>
      <w:r w:rsidR="009B2FF0" w:rsidRPr="00F955EE">
        <w:rPr>
          <w:lang w:val="es-ES"/>
        </w:rPr>
        <w:t xml:space="preserve"> las 20:00 </w:t>
      </w:r>
      <w:r w:rsidR="00571ABA" w:rsidRPr="00F955EE">
        <w:rPr>
          <w:lang w:val="es-ES"/>
        </w:rPr>
        <w:t xml:space="preserve">horas </w:t>
      </w:r>
      <w:r w:rsidR="002250E1" w:rsidRPr="00F955EE">
        <w:rPr>
          <w:lang w:val="es-ES"/>
        </w:rPr>
        <w:t xml:space="preserve">aproximadamente, </w:t>
      </w:r>
      <w:r w:rsidR="008535F7" w:rsidRPr="00F955EE">
        <w:rPr>
          <w:lang w:val="es-ES"/>
        </w:rPr>
        <w:t xml:space="preserve">en la carretera en dirección a Chinandega, </w:t>
      </w:r>
      <w:r w:rsidR="002250E1" w:rsidRPr="00F955EE">
        <w:rPr>
          <w:lang w:val="es-ES"/>
        </w:rPr>
        <w:t>la furgoneta atravesó un primer retén policial</w:t>
      </w:r>
      <w:r w:rsidR="00CA349D" w:rsidRPr="00F955EE">
        <w:rPr>
          <w:lang w:val="es-ES"/>
        </w:rPr>
        <w:t>,</w:t>
      </w:r>
      <w:r w:rsidR="003C2455" w:rsidRPr="00F955EE">
        <w:rPr>
          <w:lang w:val="es-ES"/>
        </w:rPr>
        <w:t xml:space="preserve"> </w:t>
      </w:r>
      <w:r w:rsidR="00B52732" w:rsidRPr="00F955EE">
        <w:rPr>
          <w:lang w:val="es-ES"/>
        </w:rPr>
        <w:t>el cual</w:t>
      </w:r>
      <w:r w:rsidR="002250E1" w:rsidRPr="00F955EE">
        <w:rPr>
          <w:lang w:val="es-ES"/>
        </w:rPr>
        <w:t xml:space="preserve"> tenía como objetivo interceptar vehículos que presuntamente introducían mercancía ilícita a Nicaragua</w:t>
      </w:r>
      <w:r w:rsidR="002250E1" w:rsidRPr="00F955EE">
        <w:rPr>
          <w:rStyle w:val="Refdenotaalpie"/>
          <w:lang w:val="es-ES"/>
        </w:rPr>
        <w:footnoteReference w:id="19"/>
      </w:r>
      <w:r w:rsidR="002250E1" w:rsidRPr="00F955EE">
        <w:rPr>
          <w:lang w:val="es-ES"/>
        </w:rPr>
        <w:t>.</w:t>
      </w:r>
      <w:r w:rsidR="003C2455" w:rsidRPr="00F955EE">
        <w:rPr>
          <w:lang w:val="es-ES"/>
        </w:rPr>
        <w:t xml:space="preserve"> El conductor de la furgoneta ignoró la señal de alto indicada por la patrulla y continuó con su marcha</w:t>
      </w:r>
      <w:r w:rsidR="00541F3F" w:rsidRPr="00F955EE">
        <w:rPr>
          <w:rStyle w:val="Refdenotaalpie"/>
          <w:lang w:val="es-ES"/>
        </w:rPr>
        <w:footnoteReference w:id="20"/>
      </w:r>
      <w:r w:rsidR="003C2455" w:rsidRPr="00F955EE">
        <w:rPr>
          <w:lang w:val="es-ES"/>
        </w:rPr>
        <w:t>. Lo mismo sucedió en un segundo retén</w:t>
      </w:r>
      <w:r w:rsidR="001A3CDD" w:rsidRPr="00F955EE">
        <w:rPr>
          <w:lang w:val="es-ES"/>
        </w:rPr>
        <w:t>,</w:t>
      </w:r>
      <w:r w:rsidR="003C2455" w:rsidRPr="00F955EE">
        <w:rPr>
          <w:lang w:val="es-ES"/>
        </w:rPr>
        <w:t xml:space="preserve"> </w:t>
      </w:r>
      <w:r w:rsidR="0049149C" w:rsidRPr="00F955EE">
        <w:rPr>
          <w:lang w:val="es-ES"/>
        </w:rPr>
        <w:t>el cual se ubic</w:t>
      </w:r>
      <w:r w:rsidR="00A3743D" w:rsidRPr="00F955EE">
        <w:rPr>
          <w:lang w:val="es-ES"/>
        </w:rPr>
        <w:t>ó a tres kilómetros en dirección Somotillo</w:t>
      </w:r>
      <w:r w:rsidR="0049149C" w:rsidRPr="00F955EE">
        <w:rPr>
          <w:lang w:val="es-ES"/>
        </w:rPr>
        <w:t>. A</w:t>
      </w:r>
      <w:r w:rsidR="003C2455" w:rsidRPr="00F955EE">
        <w:rPr>
          <w:lang w:val="es-ES"/>
        </w:rPr>
        <w:t xml:space="preserve">nte </w:t>
      </w:r>
      <w:r w:rsidR="0049149C" w:rsidRPr="00F955EE">
        <w:rPr>
          <w:lang w:val="es-ES"/>
        </w:rPr>
        <w:t>dicho retén</w:t>
      </w:r>
      <w:r w:rsidR="003C2455" w:rsidRPr="00F955EE">
        <w:rPr>
          <w:lang w:val="es-ES"/>
        </w:rPr>
        <w:t xml:space="preserve"> el conductor de la furgoneta hizo caso omiso a las señales de alto y </w:t>
      </w:r>
      <w:r w:rsidR="001A3CDD" w:rsidRPr="00F955EE">
        <w:rPr>
          <w:lang w:val="es-ES"/>
        </w:rPr>
        <w:t xml:space="preserve">lo </w:t>
      </w:r>
      <w:r w:rsidR="003C2455" w:rsidRPr="00F955EE">
        <w:rPr>
          <w:lang w:val="es-ES"/>
        </w:rPr>
        <w:t>atravesó “a exceso de velocidad”</w:t>
      </w:r>
      <w:r w:rsidR="003C2455" w:rsidRPr="00F955EE">
        <w:rPr>
          <w:rStyle w:val="Refdenotaalpie"/>
          <w:lang w:val="es-ES"/>
        </w:rPr>
        <w:footnoteReference w:id="21"/>
      </w:r>
      <w:r w:rsidR="0049149C" w:rsidRPr="00F955EE">
        <w:rPr>
          <w:lang w:val="es-ES"/>
        </w:rPr>
        <w:t xml:space="preserve"> por lo que, sin que hubiera orden previa para ello, algunos de los agentes realizaron varios disparos hacia dicha furgonet</w:t>
      </w:r>
      <w:r w:rsidR="00C61C28" w:rsidRPr="00F955EE">
        <w:rPr>
          <w:lang w:val="es-ES"/>
        </w:rPr>
        <w:t>a</w:t>
      </w:r>
      <w:r w:rsidR="003C2455" w:rsidRPr="00F955EE">
        <w:rPr>
          <w:lang w:val="es-ES"/>
        </w:rPr>
        <w:t xml:space="preserve">. </w:t>
      </w:r>
      <w:r w:rsidR="0049149C" w:rsidRPr="00F955EE">
        <w:rPr>
          <w:lang w:val="es-ES"/>
        </w:rPr>
        <w:t>Sobre la realización de dichos disparos, el policía F.S.O.N. afirmó que realizó dos disparos al aire</w:t>
      </w:r>
      <w:r w:rsidR="0049149C" w:rsidRPr="00F955EE">
        <w:rPr>
          <w:rStyle w:val="Refdenotaalpie"/>
          <w:lang w:val="es-ES"/>
        </w:rPr>
        <w:footnoteReference w:id="22"/>
      </w:r>
      <w:r w:rsidR="0049149C" w:rsidRPr="00F955EE">
        <w:rPr>
          <w:lang w:val="es-ES"/>
        </w:rPr>
        <w:t>. El agente R.J.S.O. señaló que hizo tres disparos al aire</w:t>
      </w:r>
      <w:r w:rsidR="0049149C" w:rsidRPr="00F955EE">
        <w:rPr>
          <w:rStyle w:val="Refdenotaalpie"/>
          <w:lang w:val="es-ES"/>
        </w:rPr>
        <w:footnoteReference w:id="23"/>
      </w:r>
      <w:r w:rsidR="0049149C" w:rsidRPr="00F955EE">
        <w:rPr>
          <w:lang w:val="es-ES"/>
        </w:rPr>
        <w:t>. Por su parte, el agente J.M.R.V. dijo haber realizado de 3 a 4 disparos en dirección a las llantas del extremo derecho del vehículo</w:t>
      </w:r>
      <w:r w:rsidR="0049149C" w:rsidRPr="00F955EE">
        <w:rPr>
          <w:rStyle w:val="Refdenotaalpie"/>
          <w:lang w:val="es-ES"/>
        </w:rPr>
        <w:footnoteReference w:id="24"/>
      </w:r>
      <w:r w:rsidR="0049149C" w:rsidRPr="00F955EE">
        <w:rPr>
          <w:lang w:val="es-ES"/>
        </w:rPr>
        <w:t xml:space="preserve">. </w:t>
      </w:r>
    </w:p>
    <w:p w14:paraId="5F07825C" w14:textId="77777777" w:rsidR="008535F7" w:rsidRPr="00F955EE" w:rsidRDefault="008535F7" w:rsidP="0049149C">
      <w:pPr>
        <w:widowControl/>
        <w:tabs>
          <w:tab w:val="left" w:pos="567"/>
          <w:tab w:val="num" w:pos="12305"/>
        </w:tabs>
        <w:autoSpaceDE w:val="0"/>
        <w:autoSpaceDN w:val="0"/>
        <w:adjustRightInd/>
        <w:ind w:right="-90"/>
        <w:textAlignment w:val="auto"/>
        <w:rPr>
          <w:lang w:val="es-ES"/>
        </w:rPr>
      </w:pPr>
    </w:p>
    <w:p w14:paraId="3325F7EE" w14:textId="52916B51" w:rsidR="00BE7124" w:rsidRPr="00F955EE" w:rsidRDefault="008535F7" w:rsidP="004F0770">
      <w:pPr>
        <w:widowControl/>
        <w:numPr>
          <w:ilvl w:val="0"/>
          <w:numId w:val="4"/>
        </w:numPr>
        <w:tabs>
          <w:tab w:val="left" w:pos="567"/>
          <w:tab w:val="num" w:pos="1569"/>
          <w:tab w:val="num" w:pos="12305"/>
        </w:tabs>
        <w:autoSpaceDE w:val="0"/>
        <w:autoSpaceDN w:val="0"/>
        <w:adjustRightInd/>
        <w:ind w:left="0" w:right="-90" w:firstLine="0"/>
        <w:textAlignment w:val="auto"/>
        <w:rPr>
          <w:lang w:val="es-ES"/>
        </w:rPr>
      </w:pPr>
      <w:r w:rsidRPr="00F955EE">
        <w:rPr>
          <w:lang w:val="es-ES"/>
        </w:rPr>
        <w:t>Un tercer retén</w:t>
      </w:r>
      <w:r w:rsidR="00AD59D3" w:rsidRPr="00F955EE">
        <w:rPr>
          <w:lang w:val="es-ES"/>
        </w:rPr>
        <w:t xml:space="preserve"> </w:t>
      </w:r>
      <w:r w:rsidRPr="00F955EE">
        <w:rPr>
          <w:lang w:val="es-ES"/>
        </w:rPr>
        <w:t>se situó en el kilómetro 169 de la carretera en dirección a Chinandega</w:t>
      </w:r>
      <w:r w:rsidRPr="00F955EE">
        <w:rPr>
          <w:rStyle w:val="Refdenotaalpie"/>
          <w:lang w:val="es-ES"/>
        </w:rPr>
        <w:footnoteReference w:id="25"/>
      </w:r>
      <w:r w:rsidRPr="00F955EE">
        <w:rPr>
          <w:lang w:val="es-ES"/>
        </w:rPr>
        <w:t xml:space="preserve">. En este tercer retén la furgoneta tampoco atendió a la solicitud de alto de los agentes </w:t>
      </w:r>
      <w:r w:rsidR="00696031">
        <w:rPr>
          <w:lang w:val="es-ES"/>
        </w:rPr>
        <w:t>estatales</w:t>
      </w:r>
      <w:r w:rsidRPr="00F955EE">
        <w:rPr>
          <w:lang w:val="es-ES"/>
        </w:rPr>
        <w:t>,</w:t>
      </w:r>
      <w:r w:rsidR="0049149C" w:rsidRPr="00F955EE">
        <w:rPr>
          <w:lang w:val="es-ES"/>
        </w:rPr>
        <w:t xml:space="preserve"> por lo que el oficial de policía S.A.V.B. afirmó haber realizado un disparo al aire</w:t>
      </w:r>
      <w:r w:rsidR="0049149C" w:rsidRPr="00F955EE">
        <w:rPr>
          <w:rStyle w:val="Refdenotaalpie"/>
          <w:lang w:val="es-ES"/>
        </w:rPr>
        <w:footnoteReference w:id="26"/>
      </w:r>
      <w:r w:rsidRPr="00F955EE">
        <w:rPr>
          <w:lang w:val="es-ES"/>
        </w:rPr>
        <w:t>.</w:t>
      </w:r>
      <w:r w:rsidR="001E1AAD" w:rsidRPr="00F955EE">
        <w:rPr>
          <w:lang w:val="es-ES"/>
        </w:rPr>
        <w:t xml:space="preserve"> </w:t>
      </w:r>
      <w:r w:rsidR="001A3CDD" w:rsidRPr="00F955EE">
        <w:rPr>
          <w:lang w:val="es-ES"/>
        </w:rPr>
        <w:t xml:space="preserve">Según las declaraciones de </w:t>
      </w:r>
      <w:r w:rsidR="00AD59D3" w:rsidRPr="00F955EE">
        <w:rPr>
          <w:lang w:val="es-ES"/>
        </w:rPr>
        <w:t>agentes estatales que participaron en el operativo</w:t>
      </w:r>
      <w:r w:rsidR="001A3CDD" w:rsidRPr="00F955EE">
        <w:rPr>
          <w:lang w:val="es-ES"/>
        </w:rPr>
        <w:t>, la furgoneta circulaba aproximadamente a “unos 160 kilómetros por hora” y casi colisiona con la camioneta de los agentes</w:t>
      </w:r>
      <w:r w:rsidR="001A3CDD" w:rsidRPr="00F955EE">
        <w:rPr>
          <w:rStyle w:val="Refdenotaalpie"/>
          <w:lang w:val="es-ES"/>
        </w:rPr>
        <w:footnoteReference w:id="27"/>
      </w:r>
      <w:r w:rsidR="001A3CDD" w:rsidRPr="00F955EE">
        <w:rPr>
          <w:lang w:val="es-ES"/>
        </w:rPr>
        <w:t xml:space="preserve">. A pesar </w:t>
      </w:r>
      <w:r w:rsidR="001B78D5" w:rsidRPr="00F955EE">
        <w:rPr>
          <w:lang w:val="es-ES"/>
        </w:rPr>
        <w:t>del disparo</w:t>
      </w:r>
      <w:r w:rsidR="00E514C4" w:rsidRPr="00F955EE">
        <w:rPr>
          <w:lang w:val="es-ES"/>
        </w:rPr>
        <w:t>,</w:t>
      </w:r>
      <w:r w:rsidR="001A3CDD" w:rsidRPr="00F955EE">
        <w:rPr>
          <w:lang w:val="es-ES"/>
        </w:rPr>
        <w:t xml:space="preserve"> e</w:t>
      </w:r>
      <w:r w:rsidR="001E1AAD" w:rsidRPr="00F955EE">
        <w:rPr>
          <w:lang w:val="es-ES"/>
        </w:rPr>
        <w:t>l conductor de la furgoneta continuó con su fuga</w:t>
      </w:r>
      <w:r w:rsidR="003E4B8D" w:rsidRPr="00F955EE">
        <w:rPr>
          <w:lang w:val="es-ES"/>
        </w:rPr>
        <w:t>.</w:t>
      </w:r>
      <w:r w:rsidR="001E1AAD" w:rsidRPr="00F955EE">
        <w:rPr>
          <w:lang w:val="es-ES"/>
        </w:rPr>
        <w:t xml:space="preserve"> </w:t>
      </w:r>
      <w:r w:rsidR="0051663A" w:rsidRPr="00F955EE">
        <w:rPr>
          <w:lang w:val="es-ES"/>
        </w:rPr>
        <w:t xml:space="preserve">Agentes </w:t>
      </w:r>
      <w:r w:rsidR="00AD59D3" w:rsidRPr="00F955EE">
        <w:rPr>
          <w:lang w:val="es-ES"/>
        </w:rPr>
        <w:t>estatales</w:t>
      </w:r>
      <w:r w:rsidR="0051663A" w:rsidRPr="00F955EE">
        <w:rPr>
          <w:lang w:val="es-ES"/>
        </w:rPr>
        <w:t xml:space="preserve"> intentaron perseguir a la furgoneta durante aproximadamente un kilómetro, </w:t>
      </w:r>
      <w:r w:rsidR="001A3CDD" w:rsidRPr="00F955EE">
        <w:rPr>
          <w:lang w:val="es-ES"/>
        </w:rPr>
        <w:t>tras el cual</w:t>
      </w:r>
      <w:r w:rsidR="0051663A" w:rsidRPr="00F955EE">
        <w:rPr>
          <w:lang w:val="es-ES"/>
        </w:rPr>
        <w:t xml:space="preserve"> perdieron su rastro</w:t>
      </w:r>
      <w:r w:rsidR="0051663A" w:rsidRPr="00F955EE">
        <w:rPr>
          <w:rStyle w:val="Refdenotaalpie"/>
          <w:lang w:val="es-ES"/>
        </w:rPr>
        <w:footnoteReference w:id="28"/>
      </w:r>
      <w:r w:rsidR="0051663A" w:rsidRPr="00F955EE">
        <w:rPr>
          <w:lang w:val="es-ES"/>
        </w:rPr>
        <w:t>.</w:t>
      </w:r>
    </w:p>
    <w:p w14:paraId="0BE1B620" w14:textId="77777777" w:rsidR="008535F7" w:rsidRPr="00F955EE" w:rsidRDefault="008535F7" w:rsidP="008535F7">
      <w:pPr>
        <w:widowControl/>
        <w:tabs>
          <w:tab w:val="left" w:pos="567"/>
        </w:tabs>
        <w:autoSpaceDE w:val="0"/>
        <w:autoSpaceDN w:val="0"/>
        <w:adjustRightInd/>
        <w:ind w:right="-90"/>
        <w:textAlignment w:val="auto"/>
        <w:rPr>
          <w:lang w:val="es-ES"/>
        </w:rPr>
      </w:pPr>
    </w:p>
    <w:p w14:paraId="7CDBAD67" w14:textId="64FB79BE" w:rsidR="00A06078" w:rsidRPr="00F955EE" w:rsidRDefault="00A06078" w:rsidP="004F0770">
      <w:pPr>
        <w:widowControl/>
        <w:numPr>
          <w:ilvl w:val="0"/>
          <w:numId w:val="4"/>
        </w:numPr>
        <w:tabs>
          <w:tab w:val="left" w:pos="567"/>
          <w:tab w:val="num" w:pos="1569"/>
          <w:tab w:val="num" w:pos="12305"/>
        </w:tabs>
        <w:autoSpaceDE w:val="0"/>
        <w:autoSpaceDN w:val="0"/>
        <w:adjustRightInd/>
        <w:ind w:left="0" w:right="-90" w:firstLine="0"/>
        <w:textAlignment w:val="auto"/>
        <w:rPr>
          <w:lang w:val="es-ES"/>
        </w:rPr>
      </w:pPr>
      <w:r w:rsidRPr="00F955EE">
        <w:rPr>
          <w:lang w:val="es-ES"/>
        </w:rPr>
        <w:t xml:space="preserve">Como resultado de </w:t>
      </w:r>
      <w:r w:rsidR="001B78D5" w:rsidRPr="00F955EE">
        <w:rPr>
          <w:lang w:val="es-ES"/>
        </w:rPr>
        <w:t>los</w:t>
      </w:r>
      <w:r w:rsidRPr="00F955EE">
        <w:rPr>
          <w:lang w:val="es-ES"/>
        </w:rPr>
        <w:t xml:space="preserve"> disparos</w:t>
      </w:r>
      <w:r w:rsidR="001B78D5" w:rsidRPr="00F955EE">
        <w:rPr>
          <w:lang w:val="es-ES"/>
        </w:rPr>
        <w:t xml:space="preserve"> efectuados</w:t>
      </w:r>
      <w:r w:rsidRPr="00F955EE">
        <w:rPr>
          <w:lang w:val="es-ES"/>
        </w:rPr>
        <w:t xml:space="preserve">, </w:t>
      </w:r>
      <w:r w:rsidR="00C52CD4" w:rsidRPr="00F955EE">
        <w:rPr>
          <w:lang w:val="es-ES"/>
        </w:rPr>
        <w:t xml:space="preserve">al menos </w:t>
      </w:r>
      <w:r w:rsidR="00482508" w:rsidRPr="00F955EE">
        <w:rPr>
          <w:lang w:val="es-ES"/>
        </w:rPr>
        <w:t>seis</w:t>
      </w:r>
      <w:r w:rsidRPr="00F955EE">
        <w:rPr>
          <w:lang w:val="es-ES"/>
        </w:rPr>
        <w:t xml:space="preserve"> personas </w:t>
      </w:r>
      <w:r w:rsidR="00482508" w:rsidRPr="00F955EE">
        <w:rPr>
          <w:lang w:val="es-ES"/>
        </w:rPr>
        <w:t>resultaron</w:t>
      </w:r>
      <w:r w:rsidRPr="00F955EE">
        <w:rPr>
          <w:lang w:val="es-ES"/>
        </w:rPr>
        <w:t xml:space="preserve"> heridas, dentro de las que se encontraban los hermanos Roche Azaña</w:t>
      </w:r>
      <w:r w:rsidR="00482508" w:rsidRPr="00F955EE">
        <w:rPr>
          <w:rStyle w:val="Refdenotaalpie"/>
          <w:lang w:val="es-ES"/>
        </w:rPr>
        <w:footnoteReference w:id="29"/>
      </w:r>
      <w:r w:rsidRPr="00F955EE">
        <w:rPr>
          <w:lang w:val="es-ES"/>
        </w:rPr>
        <w:t>. En particular, Pedro Bacilio Roche Azaña recibi</w:t>
      </w:r>
      <w:r w:rsidR="00482508" w:rsidRPr="00F955EE">
        <w:rPr>
          <w:lang w:val="es-ES"/>
        </w:rPr>
        <w:t>ó un impacto de bala en la cabeza</w:t>
      </w:r>
      <w:r w:rsidR="00482508" w:rsidRPr="00F955EE">
        <w:rPr>
          <w:rStyle w:val="Refdenotaalpie"/>
          <w:lang w:val="es-ES"/>
        </w:rPr>
        <w:footnoteReference w:id="30"/>
      </w:r>
      <w:r w:rsidR="001A3CDD" w:rsidRPr="00F955EE">
        <w:rPr>
          <w:lang w:val="es-ES"/>
        </w:rPr>
        <w:t xml:space="preserve">, mientras que su hermano </w:t>
      </w:r>
      <w:r w:rsidRPr="00F955EE">
        <w:rPr>
          <w:lang w:val="es-ES"/>
        </w:rPr>
        <w:t xml:space="preserve">Patricio Fernando recibió dos impactos de bala, uno </w:t>
      </w:r>
      <w:r w:rsidR="00482508" w:rsidRPr="00F955EE">
        <w:rPr>
          <w:lang w:val="es-ES"/>
        </w:rPr>
        <w:t>que le produjo la fractura de la cadera derecha</w:t>
      </w:r>
      <w:r w:rsidRPr="00F955EE">
        <w:rPr>
          <w:lang w:val="es-ES"/>
        </w:rPr>
        <w:t xml:space="preserve"> y </w:t>
      </w:r>
      <w:r w:rsidR="001A3CDD" w:rsidRPr="00F955EE">
        <w:rPr>
          <w:lang w:val="es-ES"/>
        </w:rPr>
        <w:t xml:space="preserve">otro que </w:t>
      </w:r>
      <w:r w:rsidR="00482508" w:rsidRPr="00F955EE">
        <w:rPr>
          <w:lang w:val="es-ES"/>
        </w:rPr>
        <w:t>impactó en su muslo derecho</w:t>
      </w:r>
      <w:r w:rsidR="00482508" w:rsidRPr="00F955EE">
        <w:rPr>
          <w:rStyle w:val="Refdenotaalpie"/>
          <w:lang w:val="es-ES"/>
        </w:rPr>
        <w:footnoteReference w:id="31"/>
      </w:r>
      <w:r w:rsidRPr="00F955EE">
        <w:rPr>
          <w:lang w:val="es-ES"/>
        </w:rPr>
        <w:t xml:space="preserve">. </w:t>
      </w:r>
    </w:p>
    <w:p w14:paraId="46FB0596" w14:textId="77777777" w:rsidR="00A06078" w:rsidRPr="00F955EE" w:rsidRDefault="00A06078" w:rsidP="00A06078">
      <w:pPr>
        <w:widowControl/>
        <w:tabs>
          <w:tab w:val="left" w:pos="567"/>
        </w:tabs>
        <w:autoSpaceDE w:val="0"/>
        <w:autoSpaceDN w:val="0"/>
        <w:adjustRightInd/>
        <w:ind w:right="-90"/>
        <w:textAlignment w:val="auto"/>
        <w:rPr>
          <w:lang w:val="es-ES"/>
        </w:rPr>
      </w:pPr>
    </w:p>
    <w:p w14:paraId="7DAD9ABE" w14:textId="73C97162" w:rsidR="00AD59D3" w:rsidRPr="00F955EE" w:rsidRDefault="00392178" w:rsidP="004F0770">
      <w:pPr>
        <w:widowControl/>
        <w:numPr>
          <w:ilvl w:val="0"/>
          <w:numId w:val="4"/>
        </w:numPr>
        <w:tabs>
          <w:tab w:val="left" w:pos="567"/>
          <w:tab w:val="num" w:pos="1569"/>
          <w:tab w:val="num" w:pos="12305"/>
        </w:tabs>
        <w:autoSpaceDE w:val="0"/>
        <w:autoSpaceDN w:val="0"/>
        <w:adjustRightInd/>
        <w:ind w:left="0" w:right="-90" w:firstLine="0"/>
        <w:textAlignment w:val="auto"/>
        <w:rPr>
          <w:lang w:val="es-ES"/>
        </w:rPr>
      </w:pPr>
      <w:r w:rsidRPr="00F955EE">
        <w:rPr>
          <w:lang w:val="es-ES"/>
        </w:rPr>
        <w:t xml:space="preserve">De acuerdo con el relato de </w:t>
      </w:r>
      <w:r w:rsidR="005414B4" w:rsidRPr="00F955EE">
        <w:rPr>
          <w:lang w:val="es-ES"/>
        </w:rPr>
        <w:t xml:space="preserve">quienes </w:t>
      </w:r>
      <w:r w:rsidRPr="00F955EE">
        <w:rPr>
          <w:lang w:val="es-ES"/>
        </w:rPr>
        <w:t xml:space="preserve">iban en la furgoneta, </w:t>
      </w:r>
      <w:r w:rsidR="009A7CC9" w:rsidRPr="00F955EE">
        <w:rPr>
          <w:lang w:val="es-ES"/>
        </w:rPr>
        <w:t xml:space="preserve">estos </w:t>
      </w:r>
      <w:r w:rsidRPr="00F955EE">
        <w:rPr>
          <w:lang w:val="es-ES"/>
        </w:rPr>
        <w:t>solicitaron de manera reiterada al conductor que para</w:t>
      </w:r>
      <w:r w:rsidR="00AD59D3" w:rsidRPr="00F955EE">
        <w:rPr>
          <w:lang w:val="es-ES"/>
        </w:rPr>
        <w:t>ra</w:t>
      </w:r>
      <w:r w:rsidRPr="00F955EE">
        <w:rPr>
          <w:lang w:val="es-ES"/>
        </w:rPr>
        <w:t xml:space="preserve"> el vehículo. </w:t>
      </w:r>
      <w:r w:rsidR="00A06078" w:rsidRPr="00F955EE">
        <w:rPr>
          <w:lang w:val="es-ES"/>
        </w:rPr>
        <w:t>No obstante lo anterior, el conductor continuó su marcha hacia Marimboro, donde se introdujo en un camino de tierra. Recorrió aproximadamente 9 kilómetros hasta llegar a Jucote, donde se detuvo y bajó a las personas migrantes para posteriormente él continuar con la fuga</w:t>
      </w:r>
      <w:r w:rsidR="00A06078" w:rsidRPr="00F955EE">
        <w:rPr>
          <w:rStyle w:val="Refdenotaalpie"/>
          <w:lang w:val="es-ES"/>
        </w:rPr>
        <w:footnoteReference w:id="32"/>
      </w:r>
      <w:r w:rsidR="00A06078" w:rsidRPr="00F955EE">
        <w:rPr>
          <w:lang w:val="es-ES"/>
        </w:rPr>
        <w:t xml:space="preserve">. </w:t>
      </w:r>
    </w:p>
    <w:p w14:paraId="72386962" w14:textId="77777777" w:rsidR="00AD59D3" w:rsidRPr="00F955EE" w:rsidRDefault="00AD59D3" w:rsidP="00AD59D3">
      <w:pPr>
        <w:widowControl/>
        <w:tabs>
          <w:tab w:val="left" w:pos="567"/>
        </w:tabs>
        <w:autoSpaceDE w:val="0"/>
        <w:autoSpaceDN w:val="0"/>
        <w:adjustRightInd/>
        <w:ind w:right="-90"/>
        <w:textAlignment w:val="auto"/>
        <w:rPr>
          <w:lang w:val="es-ES"/>
        </w:rPr>
      </w:pPr>
    </w:p>
    <w:p w14:paraId="3FAED596" w14:textId="2245B317" w:rsidR="00773B5E" w:rsidRPr="00F955EE" w:rsidRDefault="00A06078" w:rsidP="004F0770">
      <w:pPr>
        <w:widowControl/>
        <w:numPr>
          <w:ilvl w:val="0"/>
          <w:numId w:val="4"/>
        </w:numPr>
        <w:tabs>
          <w:tab w:val="left" w:pos="567"/>
          <w:tab w:val="num" w:pos="1569"/>
          <w:tab w:val="num" w:pos="12305"/>
        </w:tabs>
        <w:autoSpaceDE w:val="0"/>
        <w:autoSpaceDN w:val="0"/>
        <w:adjustRightInd/>
        <w:ind w:left="0" w:right="-90" w:firstLine="0"/>
        <w:textAlignment w:val="auto"/>
        <w:rPr>
          <w:lang w:val="es-ES"/>
        </w:rPr>
      </w:pPr>
      <w:r w:rsidRPr="00F955EE">
        <w:rPr>
          <w:lang w:val="es-ES"/>
        </w:rPr>
        <w:t xml:space="preserve">Algunas de </w:t>
      </w:r>
      <w:r w:rsidR="00966891">
        <w:rPr>
          <w:lang w:val="es-ES"/>
        </w:rPr>
        <w:t>las personas</w:t>
      </w:r>
      <w:r w:rsidR="00851CF5" w:rsidRPr="00F955EE">
        <w:rPr>
          <w:lang w:val="es-ES"/>
        </w:rPr>
        <w:t xml:space="preserve"> </w:t>
      </w:r>
      <w:r w:rsidR="00764CCE" w:rsidRPr="00F955EE">
        <w:rPr>
          <w:lang w:val="es-ES"/>
        </w:rPr>
        <w:t>se internaron en el monte</w:t>
      </w:r>
      <w:r w:rsidR="00764CCE" w:rsidRPr="00F955EE">
        <w:rPr>
          <w:rStyle w:val="Refdenotaalpie"/>
          <w:lang w:val="es-ES"/>
        </w:rPr>
        <w:footnoteReference w:id="33"/>
      </w:r>
      <w:r w:rsidR="00764CCE" w:rsidRPr="00F955EE">
        <w:rPr>
          <w:lang w:val="es-ES"/>
        </w:rPr>
        <w:t xml:space="preserve"> mientras otras se quedaron en el lugar y </w:t>
      </w:r>
      <w:r w:rsidRPr="00F955EE">
        <w:rPr>
          <w:lang w:val="es-ES"/>
        </w:rPr>
        <w:t xml:space="preserve">ayudaron a las personas heridas a llegar a una </w:t>
      </w:r>
      <w:r w:rsidR="009A7CC9" w:rsidRPr="00F955EE">
        <w:rPr>
          <w:lang w:val="es-ES"/>
        </w:rPr>
        <w:t>vivienda</w:t>
      </w:r>
      <w:r w:rsidRPr="00F955EE">
        <w:rPr>
          <w:lang w:val="es-ES"/>
        </w:rPr>
        <w:t xml:space="preserve"> que se encontraba en las inmediaciones</w:t>
      </w:r>
      <w:r w:rsidR="001A3CDD" w:rsidRPr="00F955EE">
        <w:rPr>
          <w:lang w:val="es-ES"/>
        </w:rPr>
        <w:t>,</w:t>
      </w:r>
      <w:r w:rsidRPr="00F955EE">
        <w:rPr>
          <w:lang w:val="es-ES"/>
        </w:rPr>
        <w:t xml:space="preserve"> en donde los vecinos del lugar les prestaron atención y apoyo</w:t>
      </w:r>
      <w:r w:rsidRPr="00F955EE">
        <w:rPr>
          <w:rStyle w:val="Refdenotaalpie"/>
          <w:lang w:val="es-ES"/>
        </w:rPr>
        <w:footnoteReference w:id="34"/>
      </w:r>
      <w:r w:rsidRPr="00F955EE">
        <w:rPr>
          <w:lang w:val="es-ES"/>
        </w:rPr>
        <w:t>.</w:t>
      </w:r>
      <w:r w:rsidR="00FB4CF0" w:rsidRPr="00F955EE">
        <w:rPr>
          <w:lang w:val="es-ES"/>
        </w:rPr>
        <w:t xml:space="preserve"> </w:t>
      </w:r>
      <w:r w:rsidR="001F0A51" w:rsidRPr="00F955EE">
        <w:rPr>
          <w:lang w:val="es-ES"/>
        </w:rPr>
        <w:t>Al día siguiente</w:t>
      </w:r>
      <w:r w:rsidR="00FB4CF0" w:rsidRPr="00F955EE">
        <w:rPr>
          <w:lang w:val="es-ES"/>
        </w:rPr>
        <w:t xml:space="preserve">, </w:t>
      </w:r>
      <w:r w:rsidR="00B80AB9" w:rsidRPr="00F955EE">
        <w:rPr>
          <w:lang w:val="es-ES"/>
        </w:rPr>
        <w:t xml:space="preserve">las personas heridas </w:t>
      </w:r>
      <w:r w:rsidR="00FB4CF0" w:rsidRPr="00F955EE">
        <w:rPr>
          <w:lang w:val="es-ES"/>
        </w:rPr>
        <w:t>fueron trasladad</w:t>
      </w:r>
      <w:r w:rsidR="001B78D5" w:rsidRPr="00F955EE">
        <w:rPr>
          <w:lang w:val="es-ES"/>
        </w:rPr>
        <w:t>a</w:t>
      </w:r>
      <w:r w:rsidR="00FB4CF0" w:rsidRPr="00F955EE">
        <w:rPr>
          <w:lang w:val="es-ES"/>
        </w:rPr>
        <w:t>s</w:t>
      </w:r>
      <w:r w:rsidR="00741FE0" w:rsidRPr="00F955EE">
        <w:rPr>
          <w:lang w:val="es-ES"/>
        </w:rPr>
        <w:t xml:space="preserve"> a un centro de salud por los vecinos y, posteriormente</w:t>
      </w:r>
      <w:r w:rsidR="001A3CDD" w:rsidRPr="00F955EE">
        <w:rPr>
          <w:lang w:val="es-ES"/>
        </w:rPr>
        <w:t>,</w:t>
      </w:r>
      <w:r w:rsidR="00FB4CF0" w:rsidRPr="00F955EE">
        <w:rPr>
          <w:lang w:val="es-ES"/>
        </w:rPr>
        <w:t xml:space="preserve"> mediante una ambulancia al Hospital España</w:t>
      </w:r>
      <w:r w:rsidR="00741FE0" w:rsidRPr="00F955EE">
        <w:rPr>
          <w:rStyle w:val="Refdenotaalpie"/>
          <w:lang w:val="es-ES"/>
        </w:rPr>
        <w:footnoteReference w:id="35"/>
      </w:r>
      <w:r w:rsidR="00FB4CF0" w:rsidRPr="00F955EE">
        <w:rPr>
          <w:lang w:val="es-ES"/>
        </w:rPr>
        <w:t>.</w:t>
      </w:r>
    </w:p>
    <w:p w14:paraId="2E2C9A95" w14:textId="77777777" w:rsidR="00950698" w:rsidRPr="00F955EE" w:rsidRDefault="00950698" w:rsidP="00950698">
      <w:pPr>
        <w:widowControl/>
        <w:tabs>
          <w:tab w:val="left" w:pos="567"/>
        </w:tabs>
        <w:autoSpaceDE w:val="0"/>
        <w:autoSpaceDN w:val="0"/>
        <w:adjustRightInd/>
        <w:ind w:right="-90"/>
        <w:textAlignment w:val="auto"/>
        <w:rPr>
          <w:lang w:val="es-ES"/>
        </w:rPr>
      </w:pPr>
    </w:p>
    <w:p w14:paraId="3416536F" w14:textId="1E7A6370" w:rsidR="00773B5E" w:rsidRPr="00F955EE" w:rsidRDefault="00773B5E" w:rsidP="004F0770">
      <w:pPr>
        <w:widowControl/>
        <w:numPr>
          <w:ilvl w:val="0"/>
          <w:numId w:val="4"/>
        </w:numPr>
        <w:tabs>
          <w:tab w:val="left" w:pos="567"/>
          <w:tab w:val="num" w:pos="1569"/>
          <w:tab w:val="num" w:pos="12305"/>
        </w:tabs>
        <w:autoSpaceDE w:val="0"/>
        <w:autoSpaceDN w:val="0"/>
        <w:adjustRightInd/>
        <w:ind w:left="0" w:right="-90" w:firstLine="0"/>
        <w:textAlignment w:val="auto"/>
        <w:rPr>
          <w:lang w:val="es-ES"/>
        </w:rPr>
      </w:pPr>
      <w:r w:rsidRPr="00F955EE">
        <w:rPr>
          <w:lang w:val="es-ES"/>
        </w:rPr>
        <w:t>Como consecuencia del disparo sufrido, el señor Pedro Bacilio Roche Azaña falleció alrededor de la medianoche del 15 de abril de 1996.</w:t>
      </w:r>
      <w:r w:rsidR="00482508" w:rsidRPr="00F955EE">
        <w:rPr>
          <w:lang w:val="es-ES"/>
        </w:rPr>
        <w:t xml:space="preserve"> </w:t>
      </w:r>
      <w:r w:rsidR="0017432D" w:rsidRPr="00F955EE">
        <w:rPr>
          <w:lang w:val="es-ES"/>
        </w:rPr>
        <w:t>Posteriormente</w:t>
      </w:r>
      <w:r w:rsidR="00DF5243">
        <w:rPr>
          <w:lang w:val="es-ES"/>
        </w:rPr>
        <w:t>,</w:t>
      </w:r>
      <w:r w:rsidR="0017432D" w:rsidRPr="00F955EE">
        <w:rPr>
          <w:lang w:val="es-ES"/>
        </w:rPr>
        <w:t xml:space="preserve"> fue trasladado a la morgue del Hospital España </w:t>
      </w:r>
      <w:r w:rsidR="008C484A" w:rsidRPr="00F955EE">
        <w:rPr>
          <w:lang w:val="es-ES"/>
        </w:rPr>
        <w:t>y, finalmente, repatriado</w:t>
      </w:r>
      <w:r w:rsidR="0017432D" w:rsidRPr="00F955EE">
        <w:rPr>
          <w:lang w:val="es-ES"/>
        </w:rPr>
        <w:t xml:space="preserve"> a su país de origen, Ecuador</w:t>
      </w:r>
      <w:r w:rsidR="0017432D" w:rsidRPr="00F955EE">
        <w:rPr>
          <w:rStyle w:val="Refdenotaalpie"/>
          <w:lang w:val="es-ES"/>
        </w:rPr>
        <w:footnoteReference w:id="36"/>
      </w:r>
      <w:r w:rsidR="0017432D" w:rsidRPr="00F955EE">
        <w:rPr>
          <w:lang w:val="es-ES"/>
        </w:rPr>
        <w:t>.</w:t>
      </w:r>
      <w:r w:rsidR="001A3CDD" w:rsidRPr="00F955EE">
        <w:rPr>
          <w:lang w:val="es-ES"/>
        </w:rPr>
        <w:t xml:space="preserve"> </w:t>
      </w:r>
      <w:r w:rsidR="0017432D" w:rsidRPr="00F955EE">
        <w:rPr>
          <w:lang w:val="es-ES"/>
        </w:rPr>
        <w:t>Por su parte, e</w:t>
      </w:r>
      <w:r w:rsidR="00482508" w:rsidRPr="00F955EE">
        <w:rPr>
          <w:lang w:val="es-ES"/>
        </w:rPr>
        <w:t xml:space="preserve">l señor Patricio Fernando Roche Azaña ingresó </w:t>
      </w:r>
      <w:r w:rsidR="00FB4CF0" w:rsidRPr="00F955EE">
        <w:rPr>
          <w:lang w:val="es-ES"/>
        </w:rPr>
        <w:t>en el</w:t>
      </w:r>
      <w:r w:rsidR="00482508" w:rsidRPr="00F955EE">
        <w:rPr>
          <w:lang w:val="es-ES"/>
        </w:rPr>
        <w:t xml:space="preserve"> Hospital España</w:t>
      </w:r>
      <w:r w:rsidR="003D5F2A" w:rsidRPr="00F955EE">
        <w:rPr>
          <w:lang w:val="es-ES"/>
        </w:rPr>
        <w:t xml:space="preserve"> el 15 de abril de 1996</w:t>
      </w:r>
      <w:r w:rsidR="00482508" w:rsidRPr="00F955EE">
        <w:rPr>
          <w:lang w:val="es-ES"/>
        </w:rPr>
        <w:t>, donde fue operado de urgencia</w:t>
      </w:r>
      <w:r w:rsidR="00FB4CF0" w:rsidRPr="00F955EE">
        <w:rPr>
          <w:lang w:val="es-ES"/>
        </w:rPr>
        <w:t xml:space="preserve"> debido que sufría una perforación del piso pélvico y una perforación intestinal. </w:t>
      </w:r>
      <w:r w:rsidR="00DF5243">
        <w:rPr>
          <w:lang w:val="es-ES"/>
        </w:rPr>
        <w:t>Luego</w:t>
      </w:r>
      <w:r w:rsidR="00FB4CF0" w:rsidRPr="00F955EE">
        <w:rPr>
          <w:lang w:val="es-ES"/>
        </w:rPr>
        <w:t xml:space="preserve">, </w:t>
      </w:r>
      <w:r w:rsidR="00482508" w:rsidRPr="00F955EE">
        <w:rPr>
          <w:lang w:val="es-ES"/>
        </w:rPr>
        <w:t>fue ingresado en la unidad de cuidados intensivos, toda vez que existía un “peligro inminente de muerte”</w:t>
      </w:r>
      <w:r w:rsidR="00482508" w:rsidRPr="00F955EE">
        <w:rPr>
          <w:rStyle w:val="Refdenotaalpie"/>
          <w:lang w:val="es-ES"/>
        </w:rPr>
        <w:footnoteReference w:id="37"/>
      </w:r>
      <w:r w:rsidR="00482508" w:rsidRPr="00F955EE">
        <w:rPr>
          <w:lang w:val="es-ES"/>
        </w:rPr>
        <w:t>.</w:t>
      </w:r>
      <w:r w:rsidR="00FB4CF0" w:rsidRPr="00F955EE">
        <w:rPr>
          <w:lang w:val="es-ES"/>
        </w:rPr>
        <w:t xml:space="preserve"> </w:t>
      </w:r>
      <w:r w:rsidR="006454F0" w:rsidRPr="00F955EE">
        <w:rPr>
          <w:lang w:val="es-ES"/>
        </w:rPr>
        <w:t xml:space="preserve">Debido al estado de gravedad de su salud y a la existencia de un hematoma isquiorrectal </w:t>
      </w:r>
      <w:r w:rsidR="006454F0" w:rsidRPr="00F955EE">
        <w:rPr>
          <w:lang w:val="es-ES"/>
        </w:rPr>
        <w:lastRenderedPageBreak/>
        <w:t>y perforación de colon, e</w:t>
      </w:r>
      <w:r w:rsidR="00FB4CF0" w:rsidRPr="00F955EE">
        <w:rPr>
          <w:lang w:val="es-ES"/>
        </w:rPr>
        <w:t>l 21 de abril de 1996 fue nuevamente intervenido quirúrgicamente</w:t>
      </w:r>
      <w:r w:rsidR="006454F0" w:rsidRPr="00F955EE">
        <w:rPr>
          <w:lang w:val="es-ES"/>
        </w:rPr>
        <w:t xml:space="preserve"> </w:t>
      </w:r>
      <w:r w:rsidR="003D5F2A" w:rsidRPr="00F955EE">
        <w:rPr>
          <w:lang w:val="es-ES"/>
        </w:rPr>
        <w:t>para realizarle</w:t>
      </w:r>
      <w:r w:rsidR="006454F0" w:rsidRPr="00F955EE">
        <w:rPr>
          <w:lang w:val="es-ES"/>
        </w:rPr>
        <w:t xml:space="preserve"> una colostomía</w:t>
      </w:r>
      <w:r w:rsidR="00FB4CF0" w:rsidRPr="00F955EE">
        <w:rPr>
          <w:rStyle w:val="Refdenotaalpie"/>
          <w:lang w:val="es-ES"/>
        </w:rPr>
        <w:footnoteReference w:id="38"/>
      </w:r>
      <w:r w:rsidR="00FB4CF0" w:rsidRPr="00F955EE">
        <w:rPr>
          <w:lang w:val="es-ES"/>
        </w:rPr>
        <w:t xml:space="preserve">. El </w:t>
      </w:r>
      <w:r w:rsidR="0057384A" w:rsidRPr="00F955EE">
        <w:rPr>
          <w:lang w:val="es-ES"/>
        </w:rPr>
        <w:t>señor Roche Azaña estuvo dos meses en coma</w:t>
      </w:r>
      <w:r w:rsidR="0057384A" w:rsidRPr="00F955EE">
        <w:rPr>
          <w:rStyle w:val="Refdenotaalpie"/>
          <w:lang w:val="es-ES"/>
        </w:rPr>
        <w:footnoteReference w:id="39"/>
      </w:r>
      <w:r w:rsidR="0057384A" w:rsidRPr="00F955EE">
        <w:rPr>
          <w:lang w:val="es-ES"/>
        </w:rPr>
        <w:t>. Transcurridos aproximadamente 7 meses desde su hospitalización,</w:t>
      </w:r>
      <w:r w:rsidR="00FB4CF0" w:rsidRPr="00F955EE">
        <w:rPr>
          <w:lang w:val="es-ES"/>
        </w:rPr>
        <w:t xml:space="preserve"> tras recuperarse de sus heridas, retornó a Ecuador</w:t>
      </w:r>
      <w:r w:rsidR="00AD59D3" w:rsidRPr="00F955EE">
        <w:rPr>
          <w:lang w:val="es-ES"/>
        </w:rPr>
        <w:t xml:space="preserve">, donde </w:t>
      </w:r>
      <w:r w:rsidR="0057384A" w:rsidRPr="00F955EE">
        <w:rPr>
          <w:lang w:val="es-ES"/>
        </w:rPr>
        <w:t xml:space="preserve">también tuvo que ser operado </w:t>
      </w:r>
      <w:r w:rsidR="003D5F2A" w:rsidRPr="00F955EE">
        <w:rPr>
          <w:lang w:val="es-ES"/>
        </w:rPr>
        <w:t xml:space="preserve">nuevamente </w:t>
      </w:r>
      <w:r w:rsidR="0057384A" w:rsidRPr="00F955EE">
        <w:rPr>
          <w:lang w:val="es-ES"/>
        </w:rPr>
        <w:t>como consecuencia de las heridas sufridas el 14 de abril de 1996</w:t>
      </w:r>
      <w:r w:rsidR="0057384A" w:rsidRPr="00F955EE">
        <w:rPr>
          <w:rStyle w:val="Refdenotaalpie"/>
          <w:lang w:val="es-ES"/>
        </w:rPr>
        <w:footnoteReference w:id="40"/>
      </w:r>
      <w:r w:rsidR="0057384A" w:rsidRPr="00F955EE">
        <w:rPr>
          <w:lang w:val="es-ES"/>
        </w:rPr>
        <w:t>.</w:t>
      </w:r>
    </w:p>
    <w:p w14:paraId="2D4D2E42" w14:textId="61CD4735" w:rsidR="00020218" w:rsidRPr="00F955EE" w:rsidRDefault="00CD0D65" w:rsidP="004F0770">
      <w:pPr>
        <w:pStyle w:val="Ttulo2"/>
        <w:numPr>
          <w:ilvl w:val="0"/>
          <w:numId w:val="8"/>
        </w:numPr>
        <w:ind w:left="1152" w:hanging="590"/>
        <w:rPr>
          <w:lang w:val="es-ES"/>
        </w:rPr>
      </w:pPr>
      <w:bookmarkStart w:id="27" w:name="_Toc43216149"/>
      <w:r w:rsidRPr="00F955EE">
        <w:rPr>
          <w:lang w:val="es-ES"/>
        </w:rPr>
        <w:t>Proceso penal seguido contra los agentes estatales que participaron en los hechos del 14 de abril de 1996</w:t>
      </w:r>
      <w:bookmarkEnd w:id="27"/>
    </w:p>
    <w:p w14:paraId="742F8558" w14:textId="705B0F29" w:rsidR="00746744" w:rsidRPr="00F955EE" w:rsidRDefault="00746744" w:rsidP="004F0770">
      <w:pPr>
        <w:widowControl/>
        <w:numPr>
          <w:ilvl w:val="0"/>
          <w:numId w:val="4"/>
        </w:numPr>
        <w:tabs>
          <w:tab w:val="left" w:pos="567"/>
          <w:tab w:val="num" w:pos="1569"/>
          <w:tab w:val="num" w:pos="12305"/>
        </w:tabs>
        <w:autoSpaceDE w:val="0"/>
        <w:autoSpaceDN w:val="0"/>
        <w:adjustRightInd/>
        <w:ind w:left="0" w:right="-90" w:firstLine="0"/>
        <w:textAlignment w:val="auto"/>
        <w:rPr>
          <w:lang w:val="es-ES"/>
        </w:rPr>
      </w:pPr>
      <w:r w:rsidRPr="00F955EE">
        <w:rPr>
          <w:lang w:val="es-ES"/>
        </w:rPr>
        <w:t xml:space="preserve">A raíz de </w:t>
      </w:r>
      <w:r w:rsidR="001B78D5" w:rsidRPr="00F955EE">
        <w:rPr>
          <w:lang w:val="es-ES"/>
        </w:rPr>
        <w:t>estos</w:t>
      </w:r>
      <w:r w:rsidRPr="00F955EE">
        <w:rPr>
          <w:lang w:val="es-ES"/>
        </w:rPr>
        <w:t xml:space="preserve"> hechos</w:t>
      </w:r>
      <w:r w:rsidR="001B78D5" w:rsidRPr="00F955EE">
        <w:rPr>
          <w:lang w:val="es-ES"/>
        </w:rPr>
        <w:t>,</w:t>
      </w:r>
      <w:r w:rsidRPr="00F955EE">
        <w:rPr>
          <w:lang w:val="es-ES"/>
        </w:rPr>
        <w:t xml:space="preserve"> el Procurador Auxiliar Penal de Justicia de Chinandega presentó un escrito de denuncia en contra </w:t>
      </w:r>
      <w:r w:rsidR="00CD42CE">
        <w:t>tres efectivos militares, dos miembtos de la Policía Nacional y un policía voluntario</w:t>
      </w:r>
      <w:r w:rsidR="00CD42CE" w:rsidRPr="00F955EE" w:rsidDel="00CD42CE">
        <w:rPr>
          <w:lang w:val="es-ES"/>
        </w:rPr>
        <w:t xml:space="preserve"> </w:t>
      </w:r>
      <w:r w:rsidR="0015449C" w:rsidRPr="00F955EE">
        <w:rPr>
          <w:lang w:val="es-ES"/>
        </w:rPr>
        <w:t>como presuntos autores de los delitos de homicidio doloso en perjuicio de Pedro Ba</w:t>
      </w:r>
      <w:r w:rsidR="008C1A47" w:rsidRPr="00F955EE">
        <w:rPr>
          <w:lang w:val="es-ES"/>
        </w:rPr>
        <w:t>c</w:t>
      </w:r>
      <w:r w:rsidR="0015449C" w:rsidRPr="00F955EE">
        <w:rPr>
          <w:lang w:val="es-ES"/>
        </w:rPr>
        <w:t>ilio Roche Azaña y lesiones dolosas en perjuicio de Patricio</w:t>
      </w:r>
      <w:r w:rsidR="008C1A47" w:rsidRPr="00F955EE">
        <w:rPr>
          <w:lang w:val="es-ES"/>
        </w:rPr>
        <w:t xml:space="preserve"> Fernando</w:t>
      </w:r>
      <w:r w:rsidR="0015449C" w:rsidRPr="00F955EE">
        <w:rPr>
          <w:lang w:val="es-ES"/>
        </w:rPr>
        <w:t xml:space="preserve"> Roche Azaña, así como </w:t>
      </w:r>
      <w:r w:rsidR="001B78D5" w:rsidRPr="00F955EE">
        <w:rPr>
          <w:lang w:val="es-ES"/>
        </w:rPr>
        <w:t xml:space="preserve">de </w:t>
      </w:r>
      <w:r w:rsidR="0015449C" w:rsidRPr="00F955EE">
        <w:rPr>
          <w:lang w:val="es-ES"/>
        </w:rPr>
        <w:t>otras cuatro personas</w:t>
      </w:r>
      <w:r w:rsidR="0015449C" w:rsidRPr="00F955EE">
        <w:rPr>
          <w:rStyle w:val="Refdenotaalpie"/>
          <w:lang w:val="es-ES"/>
        </w:rPr>
        <w:footnoteReference w:id="41"/>
      </w:r>
      <w:r w:rsidR="0015449C" w:rsidRPr="00F955EE">
        <w:rPr>
          <w:lang w:val="es-ES"/>
        </w:rPr>
        <w:t xml:space="preserve">. </w:t>
      </w:r>
      <w:r w:rsidR="004D792A" w:rsidRPr="00F955EE">
        <w:rPr>
          <w:lang w:val="es-ES"/>
        </w:rPr>
        <w:t>El 20 de abril de 1996 los procesados fueron detenidos por la Policía Nacional</w:t>
      </w:r>
      <w:r w:rsidR="004D792A" w:rsidRPr="00F955EE">
        <w:rPr>
          <w:rStyle w:val="Refdenotaalpie"/>
          <w:lang w:val="es-ES"/>
        </w:rPr>
        <w:footnoteReference w:id="42"/>
      </w:r>
      <w:r w:rsidR="004D792A" w:rsidRPr="00F955EE">
        <w:rPr>
          <w:lang w:val="es-ES"/>
        </w:rPr>
        <w:t>.</w:t>
      </w:r>
    </w:p>
    <w:p w14:paraId="4126740C" w14:textId="77777777" w:rsidR="00F35659" w:rsidRPr="00F955EE" w:rsidRDefault="00F35659" w:rsidP="00F35659">
      <w:pPr>
        <w:widowControl/>
        <w:tabs>
          <w:tab w:val="left" w:pos="567"/>
        </w:tabs>
        <w:autoSpaceDE w:val="0"/>
        <w:autoSpaceDN w:val="0"/>
        <w:adjustRightInd/>
        <w:ind w:right="-90"/>
        <w:textAlignment w:val="auto"/>
        <w:rPr>
          <w:lang w:val="es-ES"/>
        </w:rPr>
      </w:pPr>
    </w:p>
    <w:p w14:paraId="1083E48B" w14:textId="66DBF974" w:rsidR="00F35659" w:rsidRPr="00F955EE" w:rsidRDefault="00CE77D0" w:rsidP="004F0770">
      <w:pPr>
        <w:widowControl/>
        <w:numPr>
          <w:ilvl w:val="0"/>
          <w:numId w:val="4"/>
        </w:numPr>
        <w:tabs>
          <w:tab w:val="left" w:pos="567"/>
          <w:tab w:val="num" w:pos="1569"/>
          <w:tab w:val="num" w:pos="12305"/>
        </w:tabs>
        <w:autoSpaceDE w:val="0"/>
        <w:autoSpaceDN w:val="0"/>
        <w:adjustRightInd/>
        <w:ind w:left="0" w:right="-90" w:firstLine="0"/>
        <w:textAlignment w:val="auto"/>
        <w:rPr>
          <w:lang w:val="es-ES"/>
        </w:rPr>
      </w:pPr>
      <w:r w:rsidRPr="00F955EE">
        <w:rPr>
          <w:lang w:val="es-ES"/>
        </w:rPr>
        <w:t>El 30 de abril de 1996 el Juez Primero de Distrito del Crimen del Departamento de Chinand</w:t>
      </w:r>
      <w:r w:rsidR="00DD535E" w:rsidRPr="00F955EE">
        <w:rPr>
          <w:lang w:val="es-ES"/>
        </w:rPr>
        <w:t>e</w:t>
      </w:r>
      <w:r w:rsidRPr="00F955EE">
        <w:rPr>
          <w:lang w:val="es-ES"/>
        </w:rPr>
        <w:t xml:space="preserve">ga (en adelante, “Juez Primero del Distrito del Crimen”) acudió </w:t>
      </w:r>
      <w:r w:rsidR="00A913E9" w:rsidRPr="00F955EE">
        <w:rPr>
          <w:lang w:val="es-ES"/>
        </w:rPr>
        <w:t xml:space="preserve">al Hospital España con el objeto de tomar declaración </w:t>
      </w:r>
      <w:r w:rsidR="000F20EE">
        <w:rPr>
          <w:lang w:val="es-ES"/>
        </w:rPr>
        <w:t>a</w:t>
      </w:r>
      <w:r w:rsidR="000F20EE" w:rsidRPr="00F955EE">
        <w:rPr>
          <w:lang w:val="es-ES"/>
        </w:rPr>
        <w:t xml:space="preserve"> </w:t>
      </w:r>
      <w:r w:rsidR="00A913E9" w:rsidRPr="00F955EE">
        <w:rPr>
          <w:lang w:val="es-ES"/>
        </w:rPr>
        <w:t xml:space="preserve">las personas heridas </w:t>
      </w:r>
      <w:r w:rsidR="00AD59D3" w:rsidRPr="00F955EE">
        <w:rPr>
          <w:lang w:val="es-ES"/>
        </w:rPr>
        <w:t>como consecuencia</w:t>
      </w:r>
      <w:r w:rsidR="00A913E9" w:rsidRPr="00F955EE">
        <w:rPr>
          <w:lang w:val="es-ES"/>
        </w:rPr>
        <w:t xml:space="preserve"> de los hechos ocurridos el 14 de abril de 1996. El Juez acudió </w:t>
      </w:r>
      <w:r w:rsidRPr="00F955EE">
        <w:rPr>
          <w:lang w:val="es-ES"/>
        </w:rPr>
        <w:t xml:space="preserve">a la Unidad de Cuidados Intensivos </w:t>
      </w:r>
      <w:r w:rsidR="000F20EE">
        <w:rPr>
          <w:lang w:val="es-ES"/>
        </w:rPr>
        <w:t>a fin</w:t>
      </w:r>
      <w:r w:rsidRPr="00F955EE">
        <w:rPr>
          <w:lang w:val="es-ES"/>
        </w:rPr>
        <w:t xml:space="preserve"> de tomarle declaración al señor Patricio Fernando Roche Azaña. No obstante, debido a la situación delicada de salud en la que se encontraba–según el Juez, en esos momentos “peligra[ba] la vida del mismo” – no se pudo tomar la declaración</w:t>
      </w:r>
      <w:r w:rsidRPr="00F955EE">
        <w:rPr>
          <w:rStyle w:val="Refdenotaalpie"/>
          <w:lang w:val="es-ES"/>
        </w:rPr>
        <w:footnoteReference w:id="43"/>
      </w:r>
      <w:r w:rsidRPr="00F955EE">
        <w:rPr>
          <w:lang w:val="es-ES"/>
        </w:rPr>
        <w:t xml:space="preserve">. </w:t>
      </w:r>
      <w:r w:rsidR="00A913E9" w:rsidRPr="00F955EE">
        <w:rPr>
          <w:lang w:val="es-ES"/>
        </w:rPr>
        <w:t>Asimismo, el Juez pudo tomar la declaración de</w:t>
      </w:r>
      <w:r w:rsidR="001B78D5" w:rsidRPr="00F955EE">
        <w:rPr>
          <w:lang w:val="es-ES"/>
        </w:rPr>
        <w:t xml:space="preserve"> otras</w:t>
      </w:r>
      <w:r w:rsidR="00A913E9" w:rsidRPr="00F955EE">
        <w:rPr>
          <w:lang w:val="es-ES"/>
        </w:rPr>
        <w:t xml:space="preserve"> dos personas que también resultaron heridas</w:t>
      </w:r>
      <w:r w:rsidR="00AE080A" w:rsidRPr="00F955EE">
        <w:rPr>
          <w:rStyle w:val="Refdenotaalpie"/>
          <w:lang w:val="es-ES"/>
        </w:rPr>
        <w:footnoteReference w:id="44"/>
      </w:r>
      <w:r w:rsidR="00AE080A" w:rsidRPr="00F955EE">
        <w:rPr>
          <w:lang w:val="es-ES"/>
        </w:rPr>
        <w:t xml:space="preserve">. </w:t>
      </w:r>
    </w:p>
    <w:p w14:paraId="654B9C35" w14:textId="77777777" w:rsidR="0015449C" w:rsidRPr="00F955EE" w:rsidRDefault="0015449C" w:rsidP="0015449C">
      <w:pPr>
        <w:widowControl/>
        <w:tabs>
          <w:tab w:val="left" w:pos="567"/>
          <w:tab w:val="num" w:pos="12305"/>
        </w:tabs>
        <w:autoSpaceDE w:val="0"/>
        <w:autoSpaceDN w:val="0"/>
        <w:adjustRightInd/>
        <w:ind w:right="-90"/>
        <w:textAlignment w:val="auto"/>
        <w:rPr>
          <w:lang w:val="es-ES"/>
        </w:rPr>
      </w:pPr>
    </w:p>
    <w:p w14:paraId="61F0139E" w14:textId="04CB704A" w:rsidR="00B91B89" w:rsidRPr="00F955EE" w:rsidRDefault="0015449C" w:rsidP="004F0770">
      <w:pPr>
        <w:numPr>
          <w:ilvl w:val="0"/>
          <w:numId w:val="4"/>
        </w:numPr>
        <w:tabs>
          <w:tab w:val="left" w:pos="567"/>
          <w:tab w:val="num" w:pos="1569"/>
          <w:tab w:val="num" w:pos="12305"/>
        </w:tabs>
        <w:ind w:left="0" w:firstLine="0"/>
        <w:rPr>
          <w:rFonts w:eastAsiaTheme="minorHAnsi" w:cs="Arial"/>
          <w:lang w:val="es-ES" w:eastAsia="en-US"/>
        </w:rPr>
      </w:pPr>
      <w:r w:rsidRPr="00F955EE">
        <w:rPr>
          <w:rFonts w:eastAsiaTheme="minorHAnsi" w:cs="Arial"/>
          <w:lang w:val="es-ES" w:eastAsia="en-US"/>
        </w:rPr>
        <w:t xml:space="preserve">El 6 de mayo de 1996 el </w:t>
      </w:r>
      <w:r w:rsidR="00AD59D3" w:rsidRPr="00F955EE">
        <w:rPr>
          <w:rFonts w:eastAsiaTheme="minorHAnsi" w:cs="Arial"/>
          <w:lang w:val="es-ES" w:eastAsia="en-US"/>
        </w:rPr>
        <w:t>Juez</w:t>
      </w:r>
      <w:r w:rsidRPr="00F955EE">
        <w:rPr>
          <w:rFonts w:eastAsiaTheme="minorHAnsi" w:cs="Arial"/>
          <w:lang w:val="es-ES" w:eastAsia="en-US"/>
        </w:rPr>
        <w:t xml:space="preserve"> Primero de Distrito del Crimen dictó auto de segura y formal prisión contra los procesados </w:t>
      </w:r>
      <w:r w:rsidRPr="00F955EE">
        <w:rPr>
          <w:lang w:val="es-ES"/>
        </w:rPr>
        <w:t>F.A.C.P., J.M.R.V.,</w:t>
      </w:r>
      <w:r w:rsidR="00546198">
        <w:rPr>
          <w:lang w:val="es-ES"/>
        </w:rPr>
        <w:t xml:space="preserve"> </w:t>
      </w:r>
      <w:r w:rsidRPr="00F955EE">
        <w:rPr>
          <w:lang w:val="es-ES"/>
        </w:rPr>
        <w:t>R.J.S.O., S.A.V.B., F.S.O.N.</w:t>
      </w:r>
      <w:r w:rsidR="00F11296" w:rsidRPr="00F955EE">
        <w:rPr>
          <w:lang w:val="es-ES"/>
        </w:rPr>
        <w:t xml:space="preserve"> por considerarles culpable</w:t>
      </w:r>
      <w:r w:rsidR="00AD59D3" w:rsidRPr="00F955EE">
        <w:rPr>
          <w:lang w:val="es-ES"/>
        </w:rPr>
        <w:t>s</w:t>
      </w:r>
      <w:r w:rsidR="00F11296" w:rsidRPr="00F955EE">
        <w:rPr>
          <w:lang w:val="es-ES"/>
        </w:rPr>
        <w:t xml:space="preserve"> de los delitos de homicidio doloso y lesiones dolosas por los hechos acaecidos el 14 de abril de 1996, y </w:t>
      </w:r>
      <w:r w:rsidRPr="00F955EE">
        <w:rPr>
          <w:lang w:val="es-ES"/>
        </w:rPr>
        <w:t>absolvi</w:t>
      </w:r>
      <w:r w:rsidR="00F11296" w:rsidRPr="00F955EE">
        <w:rPr>
          <w:lang w:val="es-ES"/>
        </w:rPr>
        <w:t>ó</w:t>
      </w:r>
      <w:r w:rsidRPr="00F955EE">
        <w:rPr>
          <w:lang w:val="es-ES"/>
        </w:rPr>
        <w:t xml:space="preserve"> </w:t>
      </w:r>
      <w:r w:rsidR="00CD42CE">
        <w:rPr>
          <w:lang w:val="es-ES"/>
        </w:rPr>
        <w:t>al policía voluntario</w:t>
      </w:r>
      <w:r w:rsidRPr="00F955EE">
        <w:rPr>
          <w:rStyle w:val="Refdenotaalpie"/>
          <w:lang w:val="es-ES"/>
        </w:rPr>
        <w:footnoteReference w:id="45"/>
      </w:r>
      <w:r w:rsidRPr="00F955EE">
        <w:rPr>
          <w:lang w:val="es-ES"/>
        </w:rPr>
        <w:t>.</w:t>
      </w:r>
    </w:p>
    <w:p w14:paraId="050EC18D" w14:textId="77777777" w:rsidR="00810CA1" w:rsidRPr="00F955EE" w:rsidRDefault="00810CA1" w:rsidP="00810CA1">
      <w:pPr>
        <w:tabs>
          <w:tab w:val="left" w:pos="567"/>
        </w:tabs>
        <w:rPr>
          <w:rFonts w:eastAsiaTheme="minorHAnsi" w:cs="Arial"/>
          <w:lang w:val="es-ES" w:eastAsia="en-US"/>
        </w:rPr>
      </w:pPr>
    </w:p>
    <w:p w14:paraId="36889477" w14:textId="54F782DE" w:rsidR="0015449C" w:rsidRPr="00F955EE" w:rsidRDefault="0015449C" w:rsidP="004F0770">
      <w:pPr>
        <w:numPr>
          <w:ilvl w:val="0"/>
          <w:numId w:val="4"/>
        </w:numPr>
        <w:tabs>
          <w:tab w:val="left" w:pos="567"/>
          <w:tab w:val="num" w:pos="1569"/>
          <w:tab w:val="num" w:pos="12305"/>
        </w:tabs>
        <w:ind w:left="0" w:firstLine="0"/>
        <w:rPr>
          <w:rFonts w:eastAsiaTheme="minorHAnsi" w:cs="Arial"/>
          <w:lang w:val="es-ES" w:eastAsia="en-US"/>
        </w:rPr>
      </w:pPr>
      <w:r w:rsidRPr="00F955EE">
        <w:rPr>
          <w:lang w:val="es-ES"/>
        </w:rPr>
        <w:t xml:space="preserve">El 28 de agosto de 1998 </w:t>
      </w:r>
      <w:r w:rsidR="00966891">
        <w:rPr>
          <w:lang w:val="es-ES"/>
        </w:rPr>
        <w:t>la Sala de lo Criminal del</w:t>
      </w:r>
      <w:r w:rsidRPr="00F955EE">
        <w:rPr>
          <w:lang w:val="es-ES"/>
        </w:rPr>
        <w:t xml:space="preserve"> Tribunal de Apelaciones, Región Occidental, resolvió confirmar el auto de segura y formal prisión contra todos los procesados, a excepción de F.A.C.P. sobre quien se dictó un auto de sobreseimiento</w:t>
      </w:r>
      <w:r w:rsidRPr="00F955EE">
        <w:rPr>
          <w:rStyle w:val="Refdenotaalpie"/>
          <w:lang w:val="es-ES"/>
        </w:rPr>
        <w:footnoteReference w:id="46"/>
      </w:r>
      <w:r w:rsidRPr="00F955EE">
        <w:rPr>
          <w:lang w:val="es-ES"/>
        </w:rPr>
        <w:t>.</w:t>
      </w:r>
    </w:p>
    <w:p w14:paraId="46EDF33E" w14:textId="77777777" w:rsidR="004F4AD4" w:rsidRPr="00F955EE" w:rsidRDefault="004F4AD4" w:rsidP="0015449C">
      <w:pPr>
        <w:tabs>
          <w:tab w:val="left" w:pos="567"/>
        </w:tabs>
        <w:rPr>
          <w:rFonts w:eastAsiaTheme="minorHAnsi" w:cs="Arial"/>
          <w:lang w:val="es-ES" w:eastAsia="en-US"/>
        </w:rPr>
      </w:pPr>
    </w:p>
    <w:p w14:paraId="0DB21E42" w14:textId="73CA6D88" w:rsidR="000850C3" w:rsidRPr="00F955EE" w:rsidRDefault="00C764CD" w:rsidP="004F0770">
      <w:pPr>
        <w:numPr>
          <w:ilvl w:val="0"/>
          <w:numId w:val="4"/>
        </w:numPr>
        <w:tabs>
          <w:tab w:val="left" w:pos="567"/>
          <w:tab w:val="num" w:pos="1569"/>
          <w:tab w:val="num" w:pos="12305"/>
        </w:tabs>
        <w:ind w:left="0" w:firstLine="0"/>
        <w:rPr>
          <w:rFonts w:eastAsiaTheme="minorHAnsi" w:cs="Arial"/>
          <w:lang w:val="es-ES" w:eastAsia="en-US"/>
        </w:rPr>
      </w:pPr>
      <w:r w:rsidRPr="00F955EE">
        <w:rPr>
          <w:rFonts w:eastAsiaTheme="minorHAnsi" w:cs="Arial"/>
          <w:lang w:val="es-ES" w:eastAsia="en-US"/>
        </w:rPr>
        <w:t>De conformidad con lo establecido en el artículo 22 del Código Procesal Penal vigente al momento de los hechos, la causa fue sometida al conocimiento del Tribunal de Jurados</w:t>
      </w:r>
      <w:r w:rsidRPr="00F955EE">
        <w:rPr>
          <w:rStyle w:val="Refdenotaalpie"/>
          <w:rFonts w:eastAsiaTheme="minorHAnsi" w:cs="Arial"/>
          <w:lang w:val="es-ES" w:eastAsia="en-US"/>
        </w:rPr>
        <w:footnoteReference w:id="47"/>
      </w:r>
      <w:r w:rsidRPr="00F955EE">
        <w:rPr>
          <w:rFonts w:eastAsiaTheme="minorHAnsi" w:cs="Arial"/>
          <w:lang w:val="es-ES" w:eastAsia="en-US"/>
        </w:rPr>
        <w:t xml:space="preserve">. </w:t>
      </w:r>
      <w:r w:rsidR="005978D1" w:rsidRPr="00F955EE">
        <w:rPr>
          <w:lang w:val="es-ES"/>
        </w:rPr>
        <w:t xml:space="preserve">Es por ello que, tras </w:t>
      </w:r>
      <w:r w:rsidR="001D7534" w:rsidRPr="00F955EE">
        <w:rPr>
          <w:lang w:val="es-ES"/>
        </w:rPr>
        <w:t>la elevación de la causa a plenario, se practicaron las pruebas pertinentes</w:t>
      </w:r>
      <w:r w:rsidR="00966891">
        <w:rPr>
          <w:rStyle w:val="Refdenotaalpie"/>
          <w:lang w:val="es-ES"/>
        </w:rPr>
        <w:footnoteReference w:id="48"/>
      </w:r>
      <w:r w:rsidR="001D7534" w:rsidRPr="00F955EE">
        <w:rPr>
          <w:lang w:val="es-ES"/>
        </w:rPr>
        <w:t xml:space="preserve"> </w:t>
      </w:r>
      <w:r w:rsidR="005978D1" w:rsidRPr="00F955EE">
        <w:rPr>
          <w:lang w:val="es-ES"/>
        </w:rPr>
        <w:t>y</w:t>
      </w:r>
      <w:r w:rsidR="001D7534" w:rsidRPr="00F955EE">
        <w:rPr>
          <w:lang w:val="es-ES"/>
        </w:rPr>
        <w:t xml:space="preserve"> a continuación </w:t>
      </w:r>
      <w:r w:rsidR="005978D1" w:rsidRPr="00F955EE">
        <w:rPr>
          <w:lang w:val="es-ES"/>
        </w:rPr>
        <w:t>se produjo</w:t>
      </w:r>
      <w:r w:rsidR="001D7534" w:rsidRPr="00F955EE">
        <w:rPr>
          <w:lang w:val="es-ES"/>
        </w:rPr>
        <w:t xml:space="preserve"> la integración del Tribunal de Jurados</w:t>
      </w:r>
      <w:r w:rsidR="001D7534" w:rsidRPr="00F955EE">
        <w:rPr>
          <w:rStyle w:val="Refdenotaalpie"/>
          <w:lang w:val="es-ES"/>
        </w:rPr>
        <w:footnoteReference w:id="49"/>
      </w:r>
      <w:r w:rsidR="001D7534" w:rsidRPr="00F955EE">
        <w:rPr>
          <w:lang w:val="es-ES"/>
        </w:rPr>
        <w:t xml:space="preserve">. </w:t>
      </w:r>
      <w:r w:rsidR="00C76486" w:rsidRPr="00F955EE">
        <w:rPr>
          <w:lang w:val="es-ES"/>
        </w:rPr>
        <w:t xml:space="preserve">El 24 de febrero de 1997 el Juez </w:t>
      </w:r>
      <w:r w:rsidR="00C76486" w:rsidRPr="00F955EE">
        <w:rPr>
          <w:lang w:val="es-ES"/>
        </w:rPr>
        <w:lastRenderedPageBreak/>
        <w:t>Primero de Distrito del Crimen procedió a la desinsaculación de los diez miembros del jurado</w:t>
      </w:r>
      <w:r w:rsidR="0015449C" w:rsidRPr="00F955EE">
        <w:rPr>
          <w:lang w:val="es-ES"/>
        </w:rPr>
        <w:t xml:space="preserve">. </w:t>
      </w:r>
      <w:r w:rsidR="00A249CA" w:rsidRPr="00F955EE">
        <w:rPr>
          <w:lang w:val="es-ES"/>
        </w:rPr>
        <w:t>Tras la primera elección</w:t>
      </w:r>
      <w:r w:rsidR="00AD59D3" w:rsidRPr="00F955EE">
        <w:rPr>
          <w:lang w:val="es-ES"/>
        </w:rPr>
        <w:t>,</w:t>
      </w:r>
      <w:r w:rsidR="00A249CA" w:rsidRPr="00F955EE">
        <w:rPr>
          <w:lang w:val="es-ES"/>
        </w:rPr>
        <w:t xml:space="preserve"> un miembro electo del jurado fue recusado por el abogado </w:t>
      </w:r>
      <w:r w:rsidR="00E64BB9" w:rsidRPr="00F955EE">
        <w:rPr>
          <w:lang w:val="es-ES"/>
        </w:rPr>
        <w:t xml:space="preserve">de uno de los procesados, </w:t>
      </w:r>
      <w:r w:rsidR="00A249CA" w:rsidRPr="00F955EE">
        <w:rPr>
          <w:lang w:val="es-ES"/>
        </w:rPr>
        <w:t>razón por la cual fue sustituido por otra persona. Seguidamente</w:t>
      </w:r>
      <w:r w:rsidR="000375A9">
        <w:rPr>
          <w:lang w:val="es-ES"/>
        </w:rPr>
        <w:t>,</w:t>
      </w:r>
      <w:r w:rsidR="00A249CA" w:rsidRPr="00F955EE">
        <w:rPr>
          <w:lang w:val="es-ES"/>
        </w:rPr>
        <w:t xml:space="preserve"> dicho juez designó al Juez Segundo de Distrito de lo Civil y Laboral para que form</w:t>
      </w:r>
      <w:r w:rsidR="00AD59D3" w:rsidRPr="00F955EE">
        <w:rPr>
          <w:lang w:val="es-ES"/>
        </w:rPr>
        <w:t>ara</w:t>
      </w:r>
      <w:r w:rsidR="00A249CA" w:rsidRPr="00F955EE">
        <w:rPr>
          <w:lang w:val="es-ES"/>
        </w:rPr>
        <w:t xml:space="preserve"> parte del Tribunal de Jurados, fijando para ese mismo día la vista pública</w:t>
      </w:r>
      <w:r w:rsidR="00A249CA" w:rsidRPr="00F955EE">
        <w:rPr>
          <w:rStyle w:val="Refdenotaalpie"/>
          <w:lang w:val="es-ES"/>
        </w:rPr>
        <w:footnoteReference w:id="50"/>
      </w:r>
      <w:r w:rsidR="00A249CA" w:rsidRPr="00F955EE">
        <w:rPr>
          <w:lang w:val="es-ES"/>
        </w:rPr>
        <w:t xml:space="preserve">. </w:t>
      </w:r>
    </w:p>
    <w:p w14:paraId="099EAB09" w14:textId="77777777" w:rsidR="000850C3" w:rsidRPr="00F955EE" w:rsidRDefault="000850C3" w:rsidP="000850C3">
      <w:pPr>
        <w:tabs>
          <w:tab w:val="left" w:pos="567"/>
        </w:tabs>
        <w:rPr>
          <w:rFonts w:eastAsiaTheme="minorHAnsi" w:cs="Arial"/>
          <w:lang w:val="es-ES" w:eastAsia="en-US"/>
        </w:rPr>
      </w:pPr>
    </w:p>
    <w:p w14:paraId="3CF1CF43" w14:textId="0B9F8800" w:rsidR="00A249CA" w:rsidRPr="00F955EE" w:rsidRDefault="000850C3" w:rsidP="004F0770">
      <w:pPr>
        <w:numPr>
          <w:ilvl w:val="0"/>
          <w:numId w:val="4"/>
        </w:numPr>
        <w:tabs>
          <w:tab w:val="left" w:pos="567"/>
          <w:tab w:val="num" w:pos="1569"/>
          <w:tab w:val="num" w:pos="12305"/>
        </w:tabs>
        <w:ind w:left="0" w:firstLine="0"/>
        <w:rPr>
          <w:rFonts w:eastAsiaTheme="minorHAnsi" w:cs="Arial"/>
          <w:lang w:val="es-ES" w:eastAsia="en-US"/>
        </w:rPr>
      </w:pPr>
      <w:r w:rsidRPr="00F955EE">
        <w:rPr>
          <w:lang w:val="es-ES"/>
        </w:rPr>
        <w:t xml:space="preserve">A las 14:00 </w:t>
      </w:r>
      <w:r w:rsidR="006971D4" w:rsidRPr="00F955EE">
        <w:rPr>
          <w:lang w:val="es-ES"/>
        </w:rPr>
        <w:t>horas</w:t>
      </w:r>
      <w:r w:rsidRPr="00F955EE">
        <w:rPr>
          <w:lang w:val="es-ES"/>
        </w:rPr>
        <w:t xml:space="preserve"> del 24 de febrero de 1997</w:t>
      </w:r>
      <w:r w:rsidR="00A249CA" w:rsidRPr="00F955EE">
        <w:rPr>
          <w:lang w:val="es-ES"/>
        </w:rPr>
        <w:t xml:space="preserve"> se procedió</w:t>
      </w:r>
      <w:r w:rsidR="004D792A" w:rsidRPr="00F955EE">
        <w:rPr>
          <w:lang w:val="es-ES"/>
        </w:rPr>
        <w:t>,</w:t>
      </w:r>
      <w:r w:rsidR="00A249CA" w:rsidRPr="00F955EE">
        <w:rPr>
          <w:lang w:val="es-ES"/>
        </w:rPr>
        <w:t xml:space="preserve"> en presencia del Procurador Auxiliar y los defensores de los procesados</w:t>
      </w:r>
      <w:r w:rsidR="004D792A" w:rsidRPr="00F955EE">
        <w:rPr>
          <w:lang w:val="es-ES"/>
        </w:rPr>
        <w:t>,</w:t>
      </w:r>
      <w:r w:rsidR="00A249CA" w:rsidRPr="00F955EE">
        <w:rPr>
          <w:lang w:val="es-ES"/>
        </w:rPr>
        <w:t xml:space="preserve"> a la verificación del Jurado. El juez escogió entre los jurados comparecientes a </w:t>
      </w:r>
      <w:r w:rsidR="007F36C7">
        <w:rPr>
          <w:lang w:val="es-ES"/>
        </w:rPr>
        <w:t>cuatro</w:t>
      </w:r>
      <w:r w:rsidR="00A249CA" w:rsidRPr="00F955EE">
        <w:rPr>
          <w:lang w:val="es-ES"/>
        </w:rPr>
        <w:t xml:space="preserve"> personas, quienes se unieron al juez designado para formar parte del Tribunal de Jurados. Dicha lista fue presentada a las partes en el juicio, otorgándoseles la oportunidad de recusar a alguno de los miembros si así lo estimaban necesario.</w:t>
      </w:r>
      <w:r w:rsidRPr="00F955EE">
        <w:rPr>
          <w:lang w:val="es-ES"/>
        </w:rPr>
        <w:t xml:space="preserve"> Ni el Procurador Auxiliar ni los dos abogados defensores recusaron a ningún miembro del Jurado. Seguidamente se procedió a la juramentación de los integrantes del Tribunal de Jurados, se les “instaló en su cargo”, y se les instruyó para que eligieran a un presidente y a un secretario. A continuación</w:t>
      </w:r>
      <w:r w:rsidR="00967F3D">
        <w:rPr>
          <w:lang w:val="es-ES"/>
        </w:rPr>
        <w:t>,</w:t>
      </w:r>
      <w:r w:rsidRPr="00F955EE">
        <w:rPr>
          <w:lang w:val="es-ES"/>
        </w:rPr>
        <w:t xml:space="preserve"> el Juez Primero de Distrito del Crimen hizo entrega del expediente al presidente del Tribunal de Jurados</w:t>
      </w:r>
      <w:r w:rsidRPr="00F955EE">
        <w:rPr>
          <w:rStyle w:val="Refdenotaalpie"/>
          <w:lang w:val="es-ES"/>
        </w:rPr>
        <w:footnoteReference w:id="51"/>
      </w:r>
      <w:r w:rsidRPr="00F955EE">
        <w:rPr>
          <w:lang w:val="es-ES"/>
        </w:rPr>
        <w:t>.</w:t>
      </w:r>
    </w:p>
    <w:p w14:paraId="3E3224C8" w14:textId="77777777" w:rsidR="00A249CA" w:rsidRPr="00F955EE" w:rsidRDefault="00A249CA" w:rsidP="00A249CA">
      <w:pPr>
        <w:tabs>
          <w:tab w:val="left" w:pos="567"/>
        </w:tabs>
        <w:rPr>
          <w:rFonts w:eastAsiaTheme="minorHAnsi" w:cs="Arial"/>
          <w:highlight w:val="yellow"/>
          <w:lang w:val="es-ES" w:eastAsia="en-US"/>
        </w:rPr>
      </w:pPr>
    </w:p>
    <w:p w14:paraId="39284E04" w14:textId="31F38506" w:rsidR="0015449C" w:rsidRPr="00F955EE" w:rsidRDefault="00D14FFA" w:rsidP="004F0770">
      <w:pPr>
        <w:numPr>
          <w:ilvl w:val="0"/>
          <w:numId w:val="4"/>
        </w:numPr>
        <w:tabs>
          <w:tab w:val="left" w:pos="567"/>
          <w:tab w:val="num" w:pos="1569"/>
          <w:tab w:val="num" w:pos="12305"/>
        </w:tabs>
        <w:ind w:left="0" w:firstLine="0"/>
        <w:rPr>
          <w:rFonts w:eastAsiaTheme="minorHAnsi" w:cs="Arial"/>
          <w:lang w:val="es-ES" w:eastAsia="en-US"/>
        </w:rPr>
      </w:pPr>
      <w:r w:rsidRPr="00F955EE">
        <w:rPr>
          <w:lang w:val="es-ES"/>
        </w:rPr>
        <w:t>A l</w:t>
      </w:r>
      <w:r w:rsidR="000850C3" w:rsidRPr="00F955EE">
        <w:rPr>
          <w:lang w:val="es-ES"/>
        </w:rPr>
        <w:t xml:space="preserve">as 18:50 </w:t>
      </w:r>
      <w:r w:rsidR="006971D4" w:rsidRPr="00F955EE">
        <w:rPr>
          <w:lang w:val="es-ES"/>
        </w:rPr>
        <w:t>horas</w:t>
      </w:r>
      <w:r w:rsidR="000850C3" w:rsidRPr="00F955EE">
        <w:rPr>
          <w:lang w:val="es-ES"/>
        </w:rPr>
        <w:t xml:space="preserve"> de</w:t>
      </w:r>
      <w:r w:rsidR="0015449C" w:rsidRPr="00F955EE">
        <w:rPr>
          <w:lang w:val="es-ES"/>
        </w:rPr>
        <w:t>l</w:t>
      </w:r>
      <w:r w:rsidR="000850C3" w:rsidRPr="00F955EE">
        <w:rPr>
          <w:lang w:val="es-ES"/>
        </w:rPr>
        <w:t xml:space="preserve"> mismo</w:t>
      </w:r>
      <w:r w:rsidR="0015449C" w:rsidRPr="00F955EE">
        <w:rPr>
          <w:lang w:val="es-ES"/>
        </w:rPr>
        <w:t xml:space="preserve"> 24 de febrero el Tribunal de Jurados declaró a los procesados como inocentes de los delitos de homicidio doloso y lesiones dolosas</w:t>
      </w:r>
      <w:r w:rsidR="0015449C" w:rsidRPr="00F955EE">
        <w:rPr>
          <w:rStyle w:val="Refdenotaalpie"/>
          <w:lang w:val="es-ES"/>
        </w:rPr>
        <w:footnoteReference w:id="52"/>
      </w:r>
      <w:r w:rsidR="0015449C" w:rsidRPr="00F955EE">
        <w:rPr>
          <w:lang w:val="es-ES"/>
        </w:rPr>
        <w:t>. A raíz de dicho veredicto absolutorio</w:t>
      </w:r>
      <w:r w:rsidR="006971D4" w:rsidRPr="00F955EE">
        <w:rPr>
          <w:lang w:val="es-ES"/>
        </w:rPr>
        <w:t>,</w:t>
      </w:r>
      <w:r w:rsidR="0015449C" w:rsidRPr="00F955EE">
        <w:rPr>
          <w:lang w:val="es-ES"/>
        </w:rPr>
        <w:t xml:space="preserve"> el 27 de febrero de 1997 el Juzgado Primero de Distrito del Crimen de Chinandega absolvió a los procesados</w:t>
      </w:r>
      <w:r w:rsidR="0015449C" w:rsidRPr="00F955EE">
        <w:rPr>
          <w:rStyle w:val="Refdenotaalpie"/>
          <w:lang w:val="es-ES"/>
        </w:rPr>
        <w:footnoteReference w:id="53"/>
      </w:r>
      <w:r w:rsidR="0015449C" w:rsidRPr="00F955EE">
        <w:rPr>
          <w:lang w:val="es-ES"/>
        </w:rPr>
        <w:t>.</w:t>
      </w:r>
      <w:r w:rsidR="00810CA1" w:rsidRPr="00F955EE">
        <w:rPr>
          <w:lang w:val="es-ES"/>
        </w:rPr>
        <w:t xml:space="preserve"> En particular, dicha decisión seña</w:t>
      </w:r>
      <w:r w:rsidR="0090344F">
        <w:rPr>
          <w:lang w:val="es-ES"/>
        </w:rPr>
        <w:t>ló</w:t>
      </w:r>
      <w:r w:rsidR="00810CA1" w:rsidRPr="00F955EE">
        <w:rPr>
          <w:lang w:val="es-ES"/>
        </w:rPr>
        <w:t xml:space="preserve"> lo siguiente:</w:t>
      </w:r>
    </w:p>
    <w:p w14:paraId="796A9211" w14:textId="77777777" w:rsidR="006971D4" w:rsidRPr="00F955EE" w:rsidRDefault="006971D4" w:rsidP="006971D4">
      <w:pPr>
        <w:tabs>
          <w:tab w:val="left" w:pos="567"/>
        </w:tabs>
        <w:rPr>
          <w:highlight w:val="yellow"/>
          <w:lang w:val="es-ES"/>
        </w:rPr>
      </w:pPr>
    </w:p>
    <w:p w14:paraId="30D02DDC" w14:textId="33A938BE" w:rsidR="006971D4" w:rsidRPr="00F955EE" w:rsidRDefault="006971D4" w:rsidP="0040673B">
      <w:pPr>
        <w:tabs>
          <w:tab w:val="left" w:pos="567"/>
        </w:tabs>
        <w:ind w:left="630" w:right="720"/>
        <w:rPr>
          <w:sz w:val="18"/>
          <w:szCs w:val="18"/>
          <w:lang w:val="es-ES"/>
        </w:rPr>
      </w:pPr>
      <w:r w:rsidRPr="00F955EE">
        <w:rPr>
          <w:sz w:val="18"/>
          <w:szCs w:val="18"/>
          <w:lang w:val="es-ES"/>
        </w:rPr>
        <w:t xml:space="preserve">“Habiendo sido declarados inocentes mediante veredicto dictado por el Honorable Tribunal de Jurados, que conoció de la presente causa se ABSUELVE a los procesados </w:t>
      </w:r>
      <w:r w:rsidR="0040673B" w:rsidRPr="00F955EE">
        <w:rPr>
          <w:sz w:val="18"/>
          <w:szCs w:val="18"/>
          <w:lang w:val="es-ES"/>
        </w:rPr>
        <w:t xml:space="preserve">J.M.R.V., R.J.S.O., S.A.V.B. Y F.S.O.N. </w:t>
      </w:r>
      <w:r w:rsidRPr="00F955EE">
        <w:rPr>
          <w:sz w:val="18"/>
          <w:szCs w:val="18"/>
          <w:lang w:val="es-ES"/>
        </w:rPr>
        <w:t>[…]</w:t>
      </w:r>
      <w:r w:rsidR="00AD59D3" w:rsidRPr="00F955EE">
        <w:rPr>
          <w:sz w:val="18"/>
          <w:szCs w:val="18"/>
          <w:lang w:val="es-ES"/>
        </w:rPr>
        <w:t xml:space="preserve"> </w:t>
      </w:r>
      <w:r w:rsidRPr="00F955EE">
        <w:rPr>
          <w:sz w:val="18"/>
          <w:szCs w:val="18"/>
          <w:lang w:val="es-ES"/>
        </w:rPr>
        <w:t>de ser autores de los delitos de HOMICIDIO DOLOSO Y LESIONES DOLOSAS cometidas en perjuicio de PEDRO BA</w:t>
      </w:r>
      <w:r w:rsidR="0090344F">
        <w:rPr>
          <w:sz w:val="18"/>
          <w:szCs w:val="18"/>
          <w:lang w:val="es-ES"/>
        </w:rPr>
        <w:t>C</w:t>
      </w:r>
      <w:r w:rsidRPr="00F955EE">
        <w:rPr>
          <w:sz w:val="18"/>
          <w:szCs w:val="18"/>
          <w:lang w:val="es-ES"/>
        </w:rPr>
        <w:t>ILIO ROCHE AZAÑ</w:t>
      </w:r>
      <w:r w:rsidR="00EA7B63" w:rsidRPr="00F955EE">
        <w:rPr>
          <w:sz w:val="18"/>
          <w:szCs w:val="18"/>
          <w:lang w:val="es-ES"/>
        </w:rPr>
        <w:t>A</w:t>
      </w:r>
      <w:r w:rsidRPr="00F955EE">
        <w:rPr>
          <w:sz w:val="18"/>
          <w:szCs w:val="18"/>
          <w:lang w:val="es-ES"/>
        </w:rPr>
        <w:t>,</w:t>
      </w:r>
      <w:r w:rsidR="00EA7B63" w:rsidRPr="00F955EE">
        <w:rPr>
          <w:sz w:val="18"/>
          <w:szCs w:val="18"/>
          <w:lang w:val="es-ES"/>
        </w:rPr>
        <w:t xml:space="preserve"> [PATRICIO FERNANDO ROCHE AZAÑ</w:t>
      </w:r>
      <w:r w:rsidR="00F406FA" w:rsidRPr="00F955EE">
        <w:rPr>
          <w:sz w:val="18"/>
          <w:szCs w:val="18"/>
          <w:lang w:val="es-ES"/>
        </w:rPr>
        <w:t>A</w:t>
      </w:r>
      <w:r w:rsidR="007970C6" w:rsidRPr="00F955EE">
        <w:rPr>
          <w:sz w:val="18"/>
          <w:szCs w:val="18"/>
          <w:lang w:val="es-ES"/>
        </w:rPr>
        <w:t>]</w:t>
      </w:r>
      <w:r w:rsidR="00851CF5" w:rsidRPr="00F955EE">
        <w:rPr>
          <w:sz w:val="18"/>
          <w:szCs w:val="18"/>
          <w:lang w:val="es-ES"/>
        </w:rPr>
        <w:t xml:space="preserve"> </w:t>
      </w:r>
      <w:r w:rsidR="00EA7B63" w:rsidRPr="00F955EE">
        <w:rPr>
          <w:sz w:val="18"/>
          <w:szCs w:val="18"/>
          <w:lang w:val="es-ES"/>
        </w:rPr>
        <w:t>,</w:t>
      </w:r>
      <w:r w:rsidRPr="00F955EE">
        <w:rPr>
          <w:sz w:val="18"/>
          <w:szCs w:val="18"/>
          <w:lang w:val="es-ES"/>
        </w:rPr>
        <w:t xml:space="preserve"> </w:t>
      </w:r>
      <w:r w:rsidR="00510C02" w:rsidRPr="00F955EE">
        <w:rPr>
          <w:sz w:val="18"/>
          <w:szCs w:val="18"/>
          <w:lang w:val="es-ES"/>
        </w:rPr>
        <w:t>M.Q.P., N.D.S., A.C.S. y M.C.R.</w:t>
      </w:r>
      <w:r w:rsidRPr="00F955EE">
        <w:rPr>
          <w:sz w:val="18"/>
          <w:szCs w:val="18"/>
          <w:lang w:val="es-ES"/>
        </w:rPr>
        <w:t>, […] y por el cual le[s] fuera impuesto auto de segura y formal prisión. Ordénese su inmediata libertad, ofíciese a las autoridades del sistema penitenciario Nacional correspondiente para el cumplimiento de lo aquí resuelto”</w:t>
      </w:r>
      <w:r w:rsidRPr="00F955EE">
        <w:rPr>
          <w:rStyle w:val="Refdenotaalpie"/>
          <w:sz w:val="18"/>
          <w:szCs w:val="18"/>
          <w:lang w:val="es-ES"/>
        </w:rPr>
        <w:footnoteReference w:id="54"/>
      </w:r>
      <w:r w:rsidRPr="00F955EE">
        <w:rPr>
          <w:sz w:val="18"/>
          <w:szCs w:val="18"/>
          <w:lang w:val="es-ES"/>
        </w:rPr>
        <w:t>.</w:t>
      </w:r>
    </w:p>
    <w:p w14:paraId="1046793A" w14:textId="77777777" w:rsidR="001522BD" w:rsidRPr="00F955EE" w:rsidRDefault="001522BD" w:rsidP="001522BD">
      <w:pPr>
        <w:tabs>
          <w:tab w:val="left" w:pos="567"/>
        </w:tabs>
        <w:rPr>
          <w:highlight w:val="yellow"/>
          <w:lang w:val="es-ES"/>
        </w:rPr>
      </w:pPr>
    </w:p>
    <w:p w14:paraId="52F56103" w14:textId="58C6F0C7" w:rsidR="00810CA1" w:rsidRPr="00F955EE" w:rsidRDefault="001522BD" w:rsidP="004F0770">
      <w:pPr>
        <w:numPr>
          <w:ilvl w:val="0"/>
          <w:numId w:val="4"/>
        </w:numPr>
        <w:tabs>
          <w:tab w:val="left" w:pos="567"/>
          <w:tab w:val="num" w:pos="1569"/>
          <w:tab w:val="num" w:pos="12305"/>
        </w:tabs>
        <w:ind w:left="0" w:firstLine="0"/>
        <w:rPr>
          <w:rFonts w:eastAsiaTheme="minorHAnsi" w:cs="Arial"/>
          <w:lang w:val="es-ES" w:eastAsia="en-US"/>
        </w:rPr>
      </w:pPr>
      <w:r w:rsidRPr="00F955EE">
        <w:rPr>
          <w:lang w:val="es-ES"/>
        </w:rPr>
        <w:t xml:space="preserve">El señor Patricio Fernando Roche Azaña </w:t>
      </w:r>
      <w:r w:rsidR="0090344F">
        <w:rPr>
          <w:lang w:val="es-ES"/>
        </w:rPr>
        <w:t>y sus familiares fueron</w:t>
      </w:r>
      <w:r w:rsidRPr="00F955EE">
        <w:rPr>
          <w:lang w:val="es-ES"/>
        </w:rPr>
        <w:t xml:space="preserve"> notificado</w:t>
      </w:r>
      <w:r w:rsidR="0090344F">
        <w:rPr>
          <w:lang w:val="es-ES"/>
        </w:rPr>
        <w:t>s</w:t>
      </w:r>
      <w:r w:rsidRPr="00F955EE">
        <w:rPr>
          <w:lang w:val="es-ES"/>
        </w:rPr>
        <w:t xml:space="preserve"> por primera vez sobre la resolución judicial que absolvía a los procesados en el mes de agosto de 1998, cuando </w:t>
      </w:r>
      <w:r w:rsidR="0090344F">
        <w:rPr>
          <w:lang w:val="es-ES"/>
        </w:rPr>
        <w:t xml:space="preserve">la señora </w:t>
      </w:r>
      <w:r w:rsidR="0090344F" w:rsidRPr="00216890">
        <w:rPr>
          <w:lang w:val="es-ES" w:eastAsia="es-ES_tradnl"/>
        </w:rPr>
        <w:t>María Angelita Azaña Tenesaca</w:t>
      </w:r>
      <w:r w:rsidR="0090344F">
        <w:rPr>
          <w:lang w:val="es-ES"/>
        </w:rPr>
        <w:t xml:space="preserve">, </w:t>
      </w:r>
      <w:r w:rsidRPr="00F955EE">
        <w:rPr>
          <w:lang w:val="es-ES"/>
        </w:rPr>
        <w:t>madre</w:t>
      </w:r>
      <w:r w:rsidR="0090344F">
        <w:rPr>
          <w:lang w:val="es-ES"/>
        </w:rPr>
        <w:t xml:space="preserve"> de los hermanos Roche Azaña,</w:t>
      </w:r>
      <w:r w:rsidRPr="00F955EE">
        <w:rPr>
          <w:lang w:val="es-ES"/>
        </w:rPr>
        <w:t xml:space="preserve"> recibió </w:t>
      </w:r>
      <w:r w:rsidR="00374A65" w:rsidRPr="00F955EE">
        <w:rPr>
          <w:lang w:val="es-ES"/>
        </w:rPr>
        <w:t>informalmente</w:t>
      </w:r>
      <w:r w:rsidRPr="00F955EE">
        <w:rPr>
          <w:lang w:val="es-ES"/>
        </w:rPr>
        <w:t xml:space="preserve"> por parte de un funcionario de la cancillería de Ecuador una copia de la sentencia dictada por el Tribunal de Jurados del Distrito del Crimen de Chinandega</w:t>
      </w:r>
      <w:r w:rsidRPr="00F955EE">
        <w:rPr>
          <w:rStyle w:val="Refdenotaalpie"/>
          <w:lang w:val="es-ES"/>
        </w:rPr>
        <w:footnoteReference w:id="55"/>
      </w:r>
      <w:r w:rsidRPr="00F955EE">
        <w:rPr>
          <w:lang w:val="es-ES"/>
        </w:rPr>
        <w:t>.</w:t>
      </w:r>
      <w:r w:rsidR="00621DF1" w:rsidRPr="00F955EE">
        <w:rPr>
          <w:lang w:val="es-ES"/>
        </w:rPr>
        <w:t xml:space="preserve"> </w:t>
      </w:r>
    </w:p>
    <w:p w14:paraId="07E2767C" w14:textId="0BC92CF9" w:rsidR="0087580C" w:rsidRPr="00F955EE" w:rsidRDefault="0087580C" w:rsidP="0010568E">
      <w:pPr>
        <w:pStyle w:val="Ttulo1"/>
        <w:rPr>
          <w:lang w:val="es-ES"/>
        </w:rPr>
      </w:pPr>
      <w:bookmarkStart w:id="28" w:name="_Toc24447086"/>
      <w:bookmarkStart w:id="29" w:name="_Toc43216150"/>
      <w:r w:rsidRPr="00F955EE">
        <w:rPr>
          <w:lang w:val="es-ES"/>
        </w:rPr>
        <w:t>VI</w:t>
      </w:r>
      <w:r w:rsidRPr="00F955EE">
        <w:rPr>
          <w:lang w:val="es-ES"/>
        </w:rPr>
        <w:br/>
        <w:t>FONDO</w:t>
      </w:r>
      <w:bookmarkEnd w:id="28"/>
      <w:bookmarkEnd w:id="29"/>
    </w:p>
    <w:p w14:paraId="04C17BCB" w14:textId="41B3C5FD" w:rsidR="00316587" w:rsidRPr="00F955EE" w:rsidRDefault="00316587" w:rsidP="004F0770">
      <w:pPr>
        <w:widowControl/>
        <w:numPr>
          <w:ilvl w:val="0"/>
          <w:numId w:val="4"/>
        </w:numPr>
        <w:tabs>
          <w:tab w:val="left" w:pos="567"/>
          <w:tab w:val="num" w:pos="1569"/>
          <w:tab w:val="num" w:pos="12305"/>
        </w:tabs>
        <w:ind w:left="0" w:firstLine="0"/>
        <w:contextualSpacing/>
        <w:rPr>
          <w:lang w:val="es-ES"/>
        </w:rPr>
      </w:pPr>
      <w:r w:rsidRPr="00F955EE">
        <w:rPr>
          <w:lang w:val="es-ES"/>
        </w:rPr>
        <w:t xml:space="preserve">El presente caso se relaciona con la </w:t>
      </w:r>
      <w:r w:rsidR="002F57B7" w:rsidRPr="00F955EE">
        <w:rPr>
          <w:lang w:val="es-ES"/>
        </w:rPr>
        <w:t>muerte del señor Pedro Bacilio Roche Azaña y las lesiones causadas a su hermano, Patricio Fernando Roche Azaña el 14 de abril de 1996, como consecuencia de</w:t>
      </w:r>
      <w:r w:rsidR="0090344F">
        <w:rPr>
          <w:lang w:val="es-ES"/>
        </w:rPr>
        <w:t xml:space="preserve"> los</w:t>
      </w:r>
      <w:r w:rsidR="002F57B7" w:rsidRPr="00F955EE">
        <w:rPr>
          <w:lang w:val="es-ES"/>
        </w:rPr>
        <w:t xml:space="preserve"> disparos proferidos por agentes estatales contra el vehículo en el que se transportaban y </w:t>
      </w:r>
      <w:r w:rsidR="002B1967" w:rsidRPr="00F955EE">
        <w:rPr>
          <w:lang w:val="es-ES"/>
        </w:rPr>
        <w:t xml:space="preserve">a bordo </w:t>
      </w:r>
      <w:r w:rsidR="002F57B7" w:rsidRPr="00F955EE">
        <w:rPr>
          <w:lang w:val="es-ES"/>
        </w:rPr>
        <w:t xml:space="preserve">del cual pasaron tres controles migratorios, supuestamente sin </w:t>
      </w:r>
      <w:r w:rsidR="008B62CC" w:rsidRPr="00F955EE">
        <w:rPr>
          <w:lang w:val="es-ES"/>
        </w:rPr>
        <w:t xml:space="preserve">que el conductor </w:t>
      </w:r>
      <w:r w:rsidR="002F57B7" w:rsidRPr="00F955EE">
        <w:rPr>
          <w:lang w:val="es-ES"/>
        </w:rPr>
        <w:t>atend</w:t>
      </w:r>
      <w:r w:rsidR="008B62CC" w:rsidRPr="00F955EE">
        <w:rPr>
          <w:lang w:val="es-ES"/>
        </w:rPr>
        <w:t>i</w:t>
      </w:r>
      <w:r w:rsidR="002F57B7" w:rsidRPr="00F955EE">
        <w:rPr>
          <w:lang w:val="es-ES"/>
        </w:rPr>
        <w:t>er</w:t>
      </w:r>
      <w:r w:rsidR="008B62CC" w:rsidRPr="00F955EE">
        <w:rPr>
          <w:lang w:val="es-ES"/>
        </w:rPr>
        <w:t>a</w:t>
      </w:r>
      <w:r w:rsidR="002F57B7" w:rsidRPr="00F955EE">
        <w:rPr>
          <w:lang w:val="es-ES"/>
        </w:rPr>
        <w:t xml:space="preserve"> la </w:t>
      </w:r>
      <w:r w:rsidR="002F57B7" w:rsidRPr="00F955EE">
        <w:rPr>
          <w:lang w:val="es-ES"/>
        </w:rPr>
        <w:lastRenderedPageBreak/>
        <w:t xml:space="preserve">voz de alto. Asimismo, el caso se relaciona con las alegadas falencias ocurridas en el marco del procedimiento penal que se siguió contra los agentes </w:t>
      </w:r>
      <w:r w:rsidR="0090344F">
        <w:rPr>
          <w:lang w:val="es-ES"/>
        </w:rPr>
        <w:t>estatales</w:t>
      </w:r>
      <w:r w:rsidR="002F57B7" w:rsidRPr="00F955EE">
        <w:rPr>
          <w:lang w:val="es-ES"/>
        </w:rPr>
        <w:t xml:space="preserve"> que efectuaron los disparos.</w:t>
      </w:r>
      <w:r w:rsidR="00B23B67" w:rsidRPr="00F955EE">
        <w:rPr>
          <w:lang w:val="es-ES"/>
        </w:rPr>
        <w:t xml:space="preserve"> </w:t>
      </w:r>
    </w:p>
    <w:p w14:paraId="75B174CE" w14:textId="77777777" w:rsidR="002F57B7" w:rsidRPr="00F955EE" w:rsidRDefault="002F57B7" w:rsidP="002F57B7">
      <w:pPr>
        <w:widowControl/>
        <w:tabs>
          <w:tab w:val="left" w:pos="567"/>
          <w:tab w:val="num" w:pos="12305"/>
        </w:tabs>
        <w:contextualSpacing/>
        <w:rPr>
          <w:lang w:val="es-ES"/>
        </w:rPr>
      </w:pPr>
    </w:p>
    <w:p w14:paraId="227E61B1" w14:textId="50B4FDA4" w:rsidR="0051663A" w:rsidRPr="00F955EE" w:rsidRDefault="001B78D5" w:rsidP="004F0770">
      <w:pPr>
        <w:widowControl/>
        <w:numPr>
          <w:ilvl w:val="0"/>
          <w:numId w:val="4"/>
        </w:numPr>
        <w:tabs>
          <w:tab w:val="left" w:pos="567"/>
          <w:tab w:val="num" w:pos="1569"/>
          <w:tab w:val="num" w:pos="12305"/>
        </w:tabs>
        <w:ind w:left="0" w:firstLine="0"/>
        <w:contextualSpacing/>
        <w:rPr>
          <w:lang w:val="es-ES"/>
        </w:rPr>
      </w:pPr>
      <w:r w:rsidRPr="00F955EE">
        <w:rPr>
          <w:lang w:val="es-ES"/>
        </w:rPr>
        <w:t>Teniendo en cuenta</w:t>
      </w:r>
      <w:r w:rsidR="00AE561D" w:rsidRPr="00F955EE">
        <w:rPr>
          <w:lang w:val="es-ES"/>
        </w:rPr>
        <w:t xml:space="preserve"> los alegatos de las partes y la Comisión, en el presente caso la Corte examinará </w:t>
      </w:r>
      <w:r w:rsidR="002F57B7" w:rsidRPr="00F955EE">
        <w:rPr>
          <w:lang w:val="es-ES"/>
        </w:rPr>
        <w:t xml:space="preserve">en primer lugar las circunstancias y manera en la que el señor Pedro Bacilio Roche Azaña falleció y su hermano </w:t>
      </w:r>
      <w:r w:rsidR="008209D4" w:rsidRPr="00F955EE">
        <w:rPr>
          <w:lang w:val="es-ES"/>
        </w:rPr>
        <w:t xml:space="preserve">Patricio Fernando Roche Azaña </w:t>
      </w:r>
      <w:r w:rsidR="002F57B7" w:rsidRPr="00F955EE">
        <w:rPr>
          <w:lang w:val="es-ES"/>
        </w:rPr>
        <w:t>fue víctima de lesiones</w:t>
      </w:r>
      <w:r w:rsidR="00B22FD5">
        <w:rPr>
          <w:lang w:val="es-ES"/>
        </w:rPr>
        <w:t>, así como el alcance de la responsabilidad internacional del Estado por estos hechos</w:t>
      </w:r>
      <w:r w:rsidR="002F57B7" w:rsidRPr="00F955EE">
        <w:rPr>
          <w:lang w:val="es-ES"/>
        </w:rPr>
        <w:t>. A continuación</w:t>
      </w:r>
      <w:r w:rsidR="00B01B86">
        <w:rPr>
          <w:lang w:val="es-ES"/>
        </w:rPr>
        <w:t>,</w:t>
      </w:r>
      <w:r w:rsidR="002F57B7" w:rsidRPr="00F955EE">
        <w:rPr>
          <w:lang w:val="es-ES"/>
        </w:rPr>
        <w:t xml:space="preserve"> analizará la compatibilidad del procedimiento penal seguido contra las personas </w:t>
      </w:r>
      <w:r w:rsidR="00BE4C1F" w:rsidRPr="00F955EE">
        <w:rPr>
          <w:lang w:val="es-ES"/>
        </w:rPr>
        <w:t>procesadas por</w:t>
      </w:r>
      <w:r w:rsidR="002F57B7" w:rsidRPr="00F955EE">
        <w:rPr>
          <w:lang w:val="es-ES"/>
        </w:rPr>
        <w:t xml:space="preserve"> dichos hechos </w:t>
      </w:r>
      <w:bookmarkStart w:id="30" w:name="_Toc438113890"/>
      <w:bookmarkStart w:id="31" w:name="_Toc495658671"/>
      <w:bookmarkStart w:id="32" w:name="_Toc514172627"/>
      <w:r w:rsidR="0090344F">
        <w:rPr>
          <w:lang w:val="es-ES"/>
        </w:rPr>
        <w:t xml:space="preserve">con los estándares interamericanos </w:t>
      </w:r>
      <w:r w:rsidR="006D4185">
        <w:rPr>
          <w:lang w:val="es-ES"/>
        </w:rPr>
        <w:t>relativos a los derechos a las garantías judiciales, protección judicial y acceso a la justicia</w:t>
      </w:r>
      <w:r w:rsidR="00810CA1" w:rsidRPr="00F955EE">
        <w:rPr>
          <w:lang w:val="es-ES"/>
        </w:rPr>
        <w:t>.</w:t>
      </w:r>
    </w:p>
    <w:p w14:paraId="3DC66421" w14:textId="0A38EA3A" w:rsidR="00935AEC" w:rsidRPr="00F955EE" w:rsidRDefault="00E04DEA" w:rsidP="00660524">
      <w:pPr>
        <w:pStyle w:val="Ttulo1"/>
        <w:rPr>
          <w:lang w:val="es-ES"/>
        </w:rPr>
      </w:pPr>
      <w:bookmarkStart w:id="33" w:name="_Toc24447087"/>
      <w:bookmarkStart w:id="34" w:name="_Toc43216151"/>
      <w:r w:rsidRPr="00F955EE">
        <w:rPr>
          <w:lang w:val="es-ES"/>
        </w:rPr>
        <w:t>VI-1</w:t>
      </w:r>
      <w:r w:rsidRPr="00F955EE">
        <w:rPr>
          <w:lang w:val="es-ES"/>
        </w:rPr>
        <w:br/>
      </w:r>
      <w:r w:rsidR="008254BE" w:rsidRPr="00F955EE">
        <w:rPr>
          <w:lang w:val="es-ES"/>
        </w:rPr>
        <w:t>DERECHO</w:t>
      </w:r>
      <w:r w:rsidR="006D4185">
        <w:rPr>
          <w:lang w:val="es-ES"/>
        </w:rPr>
        <w:t>S</w:t>
      </w:r>
      <w:r w:rsidR="008254BE" w:rsidRPr="00F955EE">
        <w:rPr>
          <w:lang w:val="es-ES"/>
        </w:rPr>
        <w:t xml:space="preserve"> A </w:t>
      </w:r>
      <w:r w:rsidR="00B24A14" w:rsidRPr="00F955EE">
        <w:rPr>
          <w:lang w:val="es-ES"/>
        </w:rPr>
        <w:t>LA</w:t>
      </w:r>
      <w:bookmarkEnd w:id="33"/>
      <w:r w:rsidR="00616A72" w:rsidRPr="00F955EE">
        <w:rPr>
          <w:lang w:val="es-ES"/>
        </w:rPr>
        <w:t xml:space="preserve"> VIDA Y A LA INTEGRIDAD PERSONAL, ASÍ COMO EL DEBER DE ADOPTAR DISPOSICIONES DE DERECHO INTERNO</w:t>
      </w:r>
      <w:r w:rsidR="009F6981" w:rsidRPr="00F955EE">
        <w:rPr>
          <w:rStyle w:val="Refdenotaalpie"/>
          <w:lang w:val="es-ES"/>
        </w:rPr>
        <w:footnoteReference w:id="56"/>
      </w:r>
      <w:bookmarkEnd w:id="34"/>
    </w:p>
    <w:p w14:paraId="6CBAAC16" w14:textId="4149045F" w:rsidR="00E04DEA" w:rsidRPr="00F955EE" w:rsidRDefault="00E04DEA" w:rsidP="004F0770">
      <w:pPr>
        <w:numPr>
          <w:ilvl w:val="0"/>
          <w:numId w:val="4"/>
        </w:numPr>
        <w:tabs>
          <w:tab w:val="left" w:pos="567"/>
          <w:tab w:val="num" w:pos="1569"/>
          <w:tab w:val="num" w:pos="12305"/>
        </w:tabs>
        <w:ind w:left="0" w:firstLine="0"/>
        <w:rPr>
          <w:lang w:val="es-ES"/>
        </w:rPr>
      </w:pPr>
      <w:r w:rsidRPr="00F955EE">
        <w:rPr>
          <w:lang w:val="es-ES"/>
        </w:rPr>
        <w:t>En el presente capítulo</w:t>
      </w:r>
      <w:r w:rsidR="00372538">
        <w:rPr>
          <w:lang w:val="es-ES"/>
        </w:rPr>
        <w:t>,</w:t>
      </w:r>
      <w:r w:rsidRPr="00F955EE">
        <w:rPr>
          <w:lang w:val="es-ES"/>
        </w:rPr>
        <w:t xml:space="preserve"> la Corte examinará los alegatos relativos a la</w:t>
      </w:r>
      <w:r w:rsidR="00D12A53" w:rsidRPr="00F955EE">
        <w:rPr>
          <w:lang w:val="es-ES"/>
        </w:rPr>
        <w:t xml:space="preserve"> </w:t>
      </w:r>
      <w:r w:rsidR="0081227B" w:rsidRPr="00F955EE">
        <w:rPr>
          <w:lang w:val="es-ES"/>
        </w:rPr>
        <w:t xml:space="preserve">violación </w:t>
      </w:r>
      <w:r w:rsidR="001B78D5" w:rsidRPr="00F955EE">
        <w:rPr>
          <w:lang w:val="es-ES"/>
        </w:rPr>
        <w:t>de los</w:t>
      </w:r>
      <w:r w:rsidR="0081227B" w:rsidRPr="00F955EE">
        <w:rPr>
          <w:lang w:val="es-ES"/>
        </w:rPr>
        <w:t xml:space="preserve"> derecho</w:t>
      </w:r>
      <w:r w:rsidR="001B78D5" w:rsidRPr="00F955EE">
        <w:rPr>
          <w:lang w:val="es-ES"/>
        </w:rPr>
        <w:t>s</w:t>
      </w:r>
      <w:r w:rsidR="0081227B" w:rsidRPr="00F955EE">
        <w:rPr>
          <w:lang w:val="es-ES"/>
        </w:rPr>
        <w:t xml:space="preserve"> a la </w:t>
      </w:r>
      <w:r w:rsidR="003331A6" w:rsidRPr="00F955EE">
        <w:rPr>
          <w:lang w:val="es-ES"/>
        </w:rPr>
        <w:t>vida e integridad personal de los hermanos Roche Azaña</w:t>
      </w:r>
      <w:r w:rsidR="00E61E6F" w:rsidRPr="00F955EE">
        <w:rPr>
          <w:lang w:val="es-ES"/>
        </w:rPr>
        <w:t>,</w:t>
      </w:r>
      <w:r w:rsidRPr="00F955EE">
        <w:rPr>
          <w:lang w:val="es-ES"/>
        </w:rPr>
        <w:t xml:space="preserve"> como resultado de </w:t>
      </w:r>
      <w:r w:rsidR="003331A6" w:rsidRPr="00F955EE">
        <w:rPr>
          <w:lang w:val="es-ES"/>
        </w:rPr>
        <w:t>los disparos efectuados por agentes del Estado a la furgoneta en la que viajaban el 14 de abril de 1996</w:t>
      </w:r>
      <w:r w:rsidRPr="00F955EE">
        <w:rPr>
          <w:lang w:val="es-ES"/>
        </w:rPr>
        <w:t>.</w:t>
      </w:r>
    </w:p>
    <w:p w14:paraId="5068C62C" w14:textId="0231158F" w:rsidR="00E04DEA" w:rsidRPr="00F955EE" w:rsidRDefault="00E04DEA" w:rsidP="00E06F63">
      <w:pPr>
        <w:pStyle w:val="Ttulo2"/>
        <w:rPr>
          <w:lang w:val="es-ES"/>
        </w:rPr>
      </w:pPr>
      <w:bookmarkStart w:id="35" w:name="_Toc24447088"/>
      <w:bookmarkStart w:id="36" w:name="_Toc43216152"/>
      <w:r w:rsidRPr="00F955EE">
        <w:rPr>
          <w:lang w:val="es-ES"/>
        </w:rPr>
        <w:t>A.</w:t>
      </w:r>
      <w:r w:rsidRPr="00F955EE">
        <w:rPr>
          <w:lang w:val="es-ES"/>
        </w:rPr>
        <w:tab/>
        <w:t>Argumentos de las partes y de la Comisión</w:t>
      </w:r>
      <w:bookmarkEnd w:id="35"/>
      <w:bookmarkEnd w:id="36"/>
    </w:p>
    <w:p w14:paraId="5E875B53" w14:textId="73525F1F" w:rsidR="00D60CA8" w:rsidRPr="00F955EE" w:rsidRDefault="00D60CA8" w:rsidP="00E06F63">
      <w:pPr>
        <w:pStyle w:val="Ttulo3"/>
        <w:rPr>
          <w:lang w:val="es-ES"/>
        </w:rPr>
      </w:pPr>
      <w:r w:rsidRPr="00F955EE">
        <w:rPr>
          <w:lang w:val="es-ES"/>
        </w:rPr>
        <w:tab/>
      </w:r>
      <w:bookmarkStart w:id="37" w:name="_Toc24447089"/>
      <w:bookmarkStart w:id="38" w:name="_Toc43216153"/>
      <w:r w:rsidRPr="00F955EE">
        <w:rPr>
          <w:lang w:val="es-ES"/>
        </w:rPr>
        <w:t xml:space="preserve">a.1 </w:t>
      </w:r>
      <w:bookmarkEnd w:id="37"/>
      <w:r w:rsidR="007B5BB3" w:rsidRPr="00F955EE">
        <w:rPr>
          <w:lang w:val="es-ES"/>
        </w:rPr>
        <w:t>Muerte de Pedro Bacilio Roche Azaña y lesiones causadas a Patricio Fernando Roche Azaña</w:t>
      </w:r>
      <w:bookmarkEnd w:id="38"/>
    </w:p>
    <w:p w14:paraId="09C77B16" w14:textId="4D121603" w:rsidR="00616A72" w:rsidRPr="00F955EE" w:rsidRDefault="005C3457" w:rsidP="004F0770">
      <w:pPr>
        <w:numPr>
          <w:ilvl w:val="0"/>
          <w:numId w:val="4"/>
        </w:numPr>
        <w:tabs>
          <w:tab w:val="left" w:pos="567"/>
          <w:tab w:val="num" w:pos="1569"/>
          <w:tab w:val="num" w:pos="12305"/>
        </w:tabs>
        <w:ind w:left="0" w:firstLine="0"/>
        <w:rPr>
          <w:lang w:val="es-ES"/>
        </w:rPr>
      </w:pPr>
      <w:r w:rsidRPr="00F955EE">
        <w:rPr>
          <w:lang w:val="es-ES"/>
        </w:rPr>
        <w:t xml:space="preserve">La </w:t>
      </w:r>
      <w:r w:rsidRPr="00F955EE">
        <w:rPr>
          <w:b/>
          <w:i/>
          <w:lang w:val="es-ES"/>
        </w:rPr>
        <w:t xml:space="preserve">Comisión </w:t>
      </w:r>
      <w:r w:rsidRPr="00F955EE">
        <w:rPr>
          <w:lang w:val="es-ES"/>
        </w:rPr>
        <w:t xml:space="preserve">sostuvo que </w:t>
      </w:r>
      <w:r w:rsidRPr="00F955EE">
        <w:rPr>
          <w:rFonts w:cs="Tahoma"/>
          <w:color w:val="000000"/>
          <w:lang w:val="es-ES"/>
        </w:rPr>
        <w:t>la muerte de Pedro Roche Azaña y las lesiones provocadas a Patricio Roche Azaña fue</w:t>
      </w:r>
      <w:r w:rsidR="009A7CC9" w:rsidRPr="00F955EE">
        <w:rPr>
          <w:rFonts w:cs="Tahoma"/>
          <w:color w:val="000000"/>
          <w:lang w:val="es-ES"/>
        </w:rPr>
        <w:t>ron</w:t>
      </w:r>
      <w:r w:rsidRPr="00F955EE">
        <w:rPr>
          <w:rFonts w:cs="Tahoma"/>
          <w:color w:val="000000"/>
          <w:lang w:val="es-ES"/>
        </w:rPr>
        <w:t xml:space="preserve"> producto del uso de la fuerza ilegítima y desproporcionada por parte de agentes del Estado. </w:t>
      </w:r>
      <w:r w:rsidRPr="00F955EE">
        <w:rPr>
          <w:bCs/>
          <w:iCs/>
          <w:lang w:val="es-ES"/>
        </w:rPr>
        <w:t>A</w:t>
      </w:r>
      <w:r w:rsidR="00B74B50" w:rsidRPr="00F955EE">
        <w:rPr>
          <w:bCs/>
          <w:iCs/>
          <w:lang w:val="es-ES"/>
        </w:rPr>
        <w:t xml:space="preserve">legó que, a pesar de que los </w:t>
      </w:r>
      <w:r w:rsidR="0090344F">
        <w:rPr>
          <w:bCs/>
          <w:iCs/>
          <w:lang w:val="es-ES"/>
        </w:rPr>
        <w:t>agentes</w:t>
      </w:r>
      <w:r w:rsidR="00B74B50" w:rsidRPr="00F955EE">
        <w:rPr>
          <w:bCs/>
          <w:iCs/>
          <w:lang w:val="es-ES"/>
        </w:rPr>
        <w:t xml:space="preserve"> manifestaron haber realizado todos los disparos al aire</w:t>
      </w:r>
      <w:r w:rsidR="00B23B67" w:rsidRPr="00F955EE">
        <w:rPr>
          <w:bCs/>
          <w:iCs/>
          <w:lang w:val="es-ES"/>
        </w:rPr>
        <w:t xml:space="preserve"> </w:t>
      </w:r>
      <w:r w:rsidR="00B74B50" w:rsidRPr="00F955EE">
        <w:rPr>
          <w:bCs/>
          <w:iCs/>
          <w:lang w:val="es-ES"/>
        </w:rPr>
        <w:t xml:space="preserve">o a las </w:t>
      </w:r>
      <w:r w:rsidR="00B74B94" w:rsidRPr="00F955EE">
        <w:rPr>
          <w:bCs/>
          <w:iCs/>
          <w:lang w:val="es-ES"/>
        </w:rPr>
        <w:t>llantas</w:t>
      </w:r>
      <w:r w:rsidR="00B74B50" w:rsidRPr="00F955EE">
        <w:rPr>
          <w:bCs/>
          <w:iCs/>
          <w:lang w:val="es-ES"/>
        </w:rPr>
        <w:t xml:space="preserve"> del vehículo, de la inspección ocular del mismo se desprend</w:t>
      </w:r>
      <w:r w:rsidR="0090344F">
        <w:rPr>
          <w:bCs/>
          <w:iCs/>
          <w:lang w:val="es-ES"/>
        </w:rPr>
        <w:t>e</w:t>
      </w:r>
      <w:r w:rsidR="00B74B50" w:rsidRPr="00F955EE">
        <w:rPr>
          <w:bCs/>
          <w:iCs/>
          <w:lang w:val="es-ES"/>
        </w:rPr>
        <w:t xml:space="preserve"> que ningún dispar</w:t>
      </w:r>
      <w:r w:rsidR="001B78D5" w:rsidRPr="00F955EE">
        <w:rPr>
          <w:bCs/>
          <w:iCs/>
          <w:lang w:val="es-ES"/>
        </w:rPr>
        <w:t>o</w:t>
      </w:r>
      <w:r w:rsidR="00B74B50" w:rsidRPr="00F955EE">
        <w:rPr>
          <w:bCs/>
          <w:iCs/>
          <w:lang w:val="es-ES"/>
        </w:rPr>
        <w:t xml:space="preserve"> alcanzó las llantas del vehículo o al motor para poder detenerlo, sino que los disparos fueron dirigidos hacia la parte superior del vehículo, impactando a las personas que se encontraban dentro d</w:t>
      </w:r>
      <w:r w:rsidR="0090344F">
        <w:rPr>
          <w:bCs/>
          <w:iCs/>
          <w:lang w:val="es-ES"/>
        </w:rPr>
        <w:t>e dicho vehículo</w:t>
      </w:r>
      <w:r w:rsidR="00B74B50" w:rsidRPr="00F955EE">
        <w:rPr>
          <w:bCs/>
          <w:iCs/>
          <w:lang w:val="es-ES"/>
        </w:rPr>
        <w:t xml:space="preserve">. Añadió que, aún aceptando la versión de los </w:t>
      </w:r>
      <w:r w:rsidR="0090344F">
        <w:rPr>
          <w:bCs/>
          <w:iCs/>
          <w:lang w:val="es-ES"/>
        </w:rPr>
        <w:t>agentes estatales</w:t>
      </w:r>
      <w:r w:rsidR="00B74B50" w:rsidRPr="00F955EE">
        <w:rPr>
          <w:bCs/>
          <w:iCs/>
          <w:lang w:val="es-ES"/>
        </w:rPr>
        <w:t xml:space="preserve"> sobre el empleo de medios menos lesivos para </w:t>
      </w:r>
      <w:r w:rsidR="00B74B94" w:rsidRPr="00F955EE">
        <w:rPr>
          <w:bCs/>
          <w:iCs/>
          <w:lang w:val="es-ES"/>
        </w:rPr>
        <w:t>detener</w:t>
      </w:r>
      <w:r w:rsidR="00B74B50" w:rsidRPr="00F955EE">
        <w:rPr>
          <w:bCs/>
          <w:iCs/>
          <w:lang w:val="es-ES"/>
        </w:rPr>
        <w:t xml:space="preserve"> la camioneta, se debía evitar a toda costa el uso de armas </w:t>
      </w:r>
      <w:r w:rsidR="00B74B94" w:rsidRPr="00F955EE">
        <w:rPr>
          <w:bCs/>
          <w:iCs/>
          <w:lang w:val="es-ES"/>
        </w:rPr>
        <w:t>mediante</w:t>
      </w:r>
      <w:r w:rsidR="00B74B50" w:rsidRPr="00F955EE">
        <w:rPr>
          <w:bCs/>
          <w:iCs/>
          <w:lang w:val="es-ES"/>
        </w:rPr>
        <w:t xml:space="preserve"> otro tipo de acciones preventivas, especialmente considerando que en la zona había un paso constante de mercadería ilegal y de tráfico de personas.</w:t>
      </w:r>
      <w:r w:rsidR="00B74B50" w:rsidRPr="00F955EE">
        <w:rPr>
          <w:b/>
          <w:iCs/>
          <w:lang w:val="es-ES"/>
        </w:rPr>
        <w:t xml:space="preserve"> </w:t>
      </w:r>
    </w:p>
    <w:p w14:paraId="1EC8CA0A" w14:textId="77777777" w:rsidR="00B74B50" w:rsidRPr="00F955EE" w:rsidRDefault="00B74B50" w:rsidP="00B74B50">
      <w:pPr>
        <w:tabs>
          <w:tab w:val="left" w:pos="567"/>
        </w:tabs>
        <w:rPr>
          <w:lang w:val="es-ES"/>
        </w:rPr>
      </w:pPr>
    </w:p>
    <w:p w14:paraId="2258400F" w14:textId="7C8CD069" w:rsidR="00FA0B0E" w:rsidRPr="00F955EE" w:rsidRDefault="00B74B50" w:rsidP="004F0770">
      <w:pPr>
        <w:numPr>
          <w:ilvl w:val="0"/>
          <w:numId w:val="4"/>
        </w:numPr>
        <w:tabs>
          <w:tab w:val="left" w:pos="567"/>
          <w:tab w:val="num" w:pos="1569"/>
          <w:tab w:val="num" w:pos="12305"/>
        </w:tabs>
        <w:ind w:left="0" w:firstLine="0"/>
        <w:rPr>
          <w:lang w:val="es-ES"/>
        </w:rPr>
      </w:pPr>
      <w:r w:rsidRPr="00F955EE">
        <w:rPr>
          <w:bCs/>
          <w:iCs/>
          <w:lang w:val="es-ES"/>
        </w:rPr>
        <w:t>La Comisión indicó</w:t>
      </w:r>
      <w:r w:rsidR="009A7CC9" w:rsidRPr="00F955EE">
        <w:rPr>
          <w:bCs/>
          <w:iCs/>
          <w:lang w:val="es-ES"/>
        </w:rPr>
        <w:t>,</w:t>
      </w:r>
      <w:r w:rsidRPr="00F955EE">
        <w:rPr>
          <w:bCs/>
          <w:iCs/>
          <w:lang w:val="es-ES"/>
        </w:rPr>
        <w:t xml:space="preserve"> además</w:t>
      </w:r>
      <w:r w:rsidR="009A7CC9" w:rsidRPr="00F955EE">
        <w:rPr>
          <w:bCs/>
          <w:iCs/>
          <w:lang w:val="es-ES"/>
        </w:rPr>
        <w:t>,</w:t>
      </w:r>
      <w:r w:rsidRPr="00F955EE">
        <w:rPr>
          <w:bCs/>
          <w:iCs/>
          <w:lang w:val="es-ES"/>
        </w:rPr>
        <w:t xml:space="preserve"> que el uso de armas letales en controles policiales o </w:t>
      </w:r>
      <w:r w:rsidR="00B74B94" w:rsidRPr="00F955EE">
        <w:rPr>
          <w:bCs/>
          <w:iCs/>
          <w:lang w:val="es-ES"/>
        </w:rPr>
        <w:t>migratorios</w:t>
      </w:r>
      <w:r w:rsidRPr="00F955EE">
        <w:rPr>
          <w:bCs/>
          <w:iCs/>
          <w:lang w:val="es-ES"/>
        </w:rPr>
        <w:t xml:space="preserve"> siempre resultaría arbi</w:t>
      </w:r>
      <w:r w:rsidR="00E41EEA" w:rsidRPr="00F955EE">
        <w:rPr>
          <w:bCs/>
          <w:iCs/>
          <w:lang w:val="es-ES"/>
        </w:rPr>
        <w:t>t</w:t>
      </w:r>
      <w:r w:rsidRPr="00F955EE">
        <w:rPr>
          <w:bCs/>
          <w:iCs/>
          <w:lang w:val="es-ES"/>
        </w:rPr>
        <w:t xml:space="preserve">rario y contrario </w:t>
      </w:r>
      <w:r w:rsidR="00B74B94" w:rsidRPr="00F955EE">
        <w:rPr>
          <w:bCs/>
          <w:iCs/>
          <w:lang w:val="es-ES"/>
        </w:rPr>
        <w:t>a los principios</w:t>
      </w:r>
      <w:r w:rsidRPr="00F955EE">
        <w:rPr>
          <w:bCs/>
          <w:iCs/>
          <w:lang w:val="es-ES"/>
        </w:rPr>
        <w:t xml:space="preserve"> de legalidad, absoluta necesidad y proporcionalidad cuando un vehículo se dé a la fuga, a menos que </w:t>
      </w:r>
      <w:r w:rsidR="00FA0B0E" w:rsidRPr="00F955EE">
        <w:rPr>
          <w:bCs/>
          <w:iCs/>
          <w:lang w:val="es-ES"/>
        </w:rPr>
        <w:t>exista</w:t>
      </w:r>
      <w:r w:rsidRPr="00F955EE">
        <w:rPr>
          <w:bCs/>
          <w:iCs/>
          <w:lang w:val="es-ES"/>
        </w:rPr>
        <w:t xml:space="preserve"> agresión o indicios de que esté en peligro la vida de alguna persona, cuestión que no sucedió en el presente caso. </w:t>
      </w:r>
      <w:r w:rsidR="00FC7614" w:rsidRPr="00F955EE">
        <w:rPr>
          <w:bCs/>
          <w:iCs/>
          <w:lang w:val="es-ES"/>
        </w:rPr>
        <w:t>Resaltó que el solo argumento de evitar la fuga no satisface la exigencia de finalidad legítima o absoluta necesidad que autoriza el uso de la fuerza.</w:t>
      </w:r>
      <w:r w:rsidR="00314425" w:rsidRPr="00F955EE">
        <w:rPr>
          <w:b/>
          <w:iCs/>
          <w:lang w:val="es-ES"/>
        </w:rPr>
        <w:t xml:space="preserve"> </w:t>
      </w:r>
      <w:r w:rsidR="00FA0B0E" w:rsidRPr="00F955EE">
        <w:rPr>
          <w:bCs/>
          <w:iCs/>
          <w:lang w:val="es-ES"/>
        </w:rPr>
        <w:t xml:space="preserve">Asimismo, en sus observaciones finales escritas, la Comisión añadió que los hechos tuvieron lugar en una zona fronteriza entre Nicaragua y Honduras, por lo que, si bien el </w:t>
      </w:r>
      <w:r w:rsidR="007B5A16" w:rsidRPr="00F955EE">
        <w:rPr>
          <w:bCs/>
          <w:iCs/>
          <w:lang w:val="es-ES"/>
        </w:rPr>
        <w:t>operativo</w:t>
      </w:r>
      <w:r w:rsidR="00FA0B0E" w:rsidRPr="00F955EE">
        <w:rPr>
          <w:bCs/>
          <w:iCs/>
          <w:lang w:val="es-ES"/>
        </w:rPr>
        <w:t xml:space="preserve"> policial tenía el objetivo de verificar el tránsito ilícito de mercancías, los policías debían estar familiarizados con la zona y con el hecho de que por la misma había un tránsito constante de migrantes y de tráfico ilegal de personas. Según la Comisión, los agentes debieron haber estado suficientemente capacitados para enfrentar situaciones como las del presente caso y tener a su disposición mecanismos alternativos para detener un vehículo sin tener que realizar disparos. </w:t>
      </w:r>
    </w:p>
    <w:p w14:paraId="09128253" w14:textId="77777777" w:rsidR="00FA0B0E" w:rsidRPr="00F955EE" w:rsidRDefault="00FA0B0E" w:rsidP="00FA0B0E">
      <w:pPr>
        <w:tabs>
          <w:tab w:val="left" w:pos="567"/>
        </w:tabs>
        <w:rPr>
          <w:lang w:val="es-ES"/>
        </w:rPr>
      </w:pPr>
    </w:p>
    <w:p w14:paraId="0780F0F6" w14:textId="7FBE33E0" w:rsidR="00D8493A" w:rsidRPr="00F955EE" w:rsidRDefault="00B74B50" w:rsidP="004F0770">
      <w:pPr>
        <w:numPr>
          <w:ilvl w:val="0"/>
          <w:numId w:val="4"/>
        </w:numPr>
        <w:tabs>
          <w:tab w:val="left" w:pos="567"/>
          <w:tab w:val="num" w:pos="1569"/>
          <w:tab w:val="num" w:pos="12305"/>
        </w:tabs>
        <w:ind w:left="0" w:firstLine="0"/>
        <w:rPr>
          <w:lang w:val="es-ES"/>
        </w:rPr>
      </w:pPr>
      <w:r w:rsidRPr="00F955EE">
        <w:rPr>
          <w:bCs/>
          <w:iCs/>
          <w:lang w:val="es-ES"/>
        </w:rPr>
        <w:t>Por todo lo anterior</w:t>
      </w:r>
      <w:r w:rsidR="001B6885">
        <w:rPr>
          <w:bCs/>
          <w:iCs/>
          <w:lang w:val="es-ES"/>
        </w:rPr>
        <w:t>,</w:t>
      </w:r>
      <w:r w:rsidRPr="00F955EE">
        <w:rPr>
          <w:bCs/>
          <w:iCs/>
          <w:lang w:val="es-ES"/>
        </w:rPr>
        <w:t xml:space="preserve"> la Comisión concluyó que el Estado nicaragüense es responsable por la violación de los derechos a la vida e integridad personal establecidos en los artículos 4.1 y 5.1 de la Convención Americana, en relación con las obligaciones establecidas en los artículos 1.1</w:t>
      </w:r>
      <w:r w:rsidR="00E41EEA" w:rsidRPr="00F955EE">
        <w:rPr>
          <w:bCs/>
          <w:iCs/>
          <w:lang w:val="es-ES"/>
        </w:rPr>
        <w:t xml:space="preserve"> </w:t>
      </w:r>
      <w:r w:rsidRPr="00F955EE">
        <w:rPr>
          <w:bCs/>
          <w:iCs/>
          <w:lang w:val="es-ES"/>
        </w:rPr>
        <w:t xml:space="preserve">y 2 del mismo instrumento. </w:t>
      </w:r>
    </w:p>
    <w:p w14:paraId="7DE02B4E" w14:textId="77777777" w:rsidR="005C3457" w:rsidRPr="00F955EE" w:rsidRDefault="005C3457" w:rsidP="005C3457">
      <w:pPr>
        <w:tabs>
          <w:tab w:val="left" w:pos="567"/>
        </w:tabs>
        <w:rPr>
          <w:lang w:val="es-ES"/>
        </w:rPr>
      </w:pPr>
    </w:p>
    <w:p w14:paraId="684A0E4F" w14:textId="7B7C92A6" w:rsidR="005C3457" w:rsidRPr="00F955EE" w:rsidRDefault="005C3457" w:rsidP="004F0770">
      <w:pPr>
        <w:numPr>
          <w:ilvl w:val="0"/>
          <w:numId w:val="4"/>
        </w:numPr>
        <w:tabs>
          <w:tab w:val="left" w:pos="567"/>
          <w:tab w:val="num" w:pos="1569"/>
          <w:tab w:val="num" w:pos="12305"/>
        </w:tabs>
        <w:ind w:left="0" w:firstLine="0"/>
        <w:rPr>
          <w:lang w:val="es-ES"/>
        </w:rPr>
      </w:pPr>
      <w:r w:rsidRPr="00F955EE">
        <w:rPr>
          <w:lang w:val="es-ES"/>
        </w:rPr>
        <w:t>El</w:t>
      </w:r>
      <w:r w:rsidRPr="00F955EE">
        <w:rPr>
          <w:i/>
          <w:lang w:val="es-ES"/>
        </w:rPr>
        <w:t xml:space="preserve"> </w:t>
      </w:r>
      <w:r w:rsidRPr="00F955EE">
        <w:rPr>
          <w:b/>
          <w:i/>
          <w:lang w:val="es-ES"/>
        </w:rPr>
        <w:t xml:space="preserve">representante </w:t>
      </w:r>
      <w:r w:rsidRPr="00F955EE">
        <w:rPr>
          <w:lang w:val="es-ES"/>
        </w:rPr>
        <w:t xml:space="preserve">añadió que no medió razón alguna para que </w:t>
      </w:r>
      <w:r w:rsidR="0090344F">
        <w:rPr>
          <w:lang w:val="es-ES"/>
        </w:rPr>
        <w:t>los agentes estatales</w:t>
      </w:r>
      <w:r w:rsidRPr="00F955EE">
        <w:rPr>
          <w:lang w:val="es-ES"/>
        </w:rPr>
        <w:t xml:space="preserve"> procediera</w:t>
      </w:r>
      <w:r w:rsidR="0090344F">
        <w:rPr>
          <w:lang w:val="es-ES"/>
        </w:rPr>
        <w:t>n</w:t>
      </w:r>
      <w:r w:rsidRPr="00F955EE">
        <w:rPr>
          <w:lang w:val="es-ES"/>
        </w:rPr>
        <w:t xml:space="preserve"> a </w:t>
      </w:r>
      <w:r w:rsidRPr="00F955EE">
        <w:rPr>
          <w:rFonts w:cs="Cambria"/>
          <w:color w:val="000000"/>
          <w:lang w:val="es-ES"/>
        </w:rPr>
        <w:t>disparar</w:t>
      </w:r>
      <w:r w:rsidRPr="00F955EE">
        <w:rPr>
          <w:lang w:val="es-ES"/>
        </w:rPr>
        <w:t xml:space="preserve"> de manera </w:t>
      </w:r>
      <w:r w:rsidR="00AD59D3" w:rsidRPr="00F955EE">
        <w:rPr>
          <w:lang w:val="es-ES"/>
        </w:rPr>
        <w:t>“</w:t>
      </w:r>
      <w:r w:rsidRPr="00F955EE">
        <w:rPr>
          <w:lang w:val="es-ES"/>
        </w:rPr>
        <w:t>indiscriminada</w:t>
      </w:r>
      <w:r w:rsidR="00AD59D3" w:rsidRPr="00F955EE">
        <w:rPr>
          <w:lang w:val="es-ES"/>
        </w:rPr>
        <w:t>”</w:t>
      </w:r>
      <w:r w:rsidRPr="00F955EE">
        <w:rPr>
          <w:lang w:val="es-ES"/>
        </w:rPr>
        <w:t xml:space="preserve"> contra </w:t>
      </w:r>
      <w:r w:rsidR="008B62CC" w:rsidRPr="00F955EE">
        <w:rPr>
          <w:lang w:val="es-ES"/>
        </w:rPr>
        <w:t xml:space="preserve">personas </w:t>
      </w:r>
      <w:r w:rsidRPr="00F955EE">
        <w:rPr>
          <w:lang w:val="es-ES"/>
        </w:rPr>
        <w:t>migrantes que iban totalmente desarmad</w:t>
      </w:r>
      <w:r w:rsidR="008B62CC" w:rsidRPr="00F955EE">
        <w:rPr>
          <w:lang w:val="es-ES"/>
        </w:rPr>
        <w:t>a</w:t>
      </w:r>
      <w:r w:rsidRPr="00F955EE">
        <w:rPr>
          <w:lang w:val="es-ES"/>
        </w:rPr>
        <w:t xml:space="preserve">s. </w:t>
      </w:r>
      <w:r w:rsidR="00FA0B0E" w:rsidRPr="00F955EE">
        <w:rPr>
          <w:lang w:val="es-ES"/>
        </w:rPr>
        <w:t>Resaltó</w:t>
      </w:r>
      <w:r w:rsidRPr="00F955EE">
        <w:rPr>
          <w:lang w:val="es-ES"/>
        </w:rPr>
        <w:t xml:space="preserve"> que</w:t>
      </w:r>
      <w:r w:rsidR="00FA0B0E" w:rsidRPr="00F955EE">
        <w:rPr>
          <w:lang w:val="es-ES"/>
        </w:rPr>
        <w:t>,</w:t>
      </w:r>
      <w:r w:rsidRPr="00F955EE">
        <w:rPr>
          <w:lang w:val="es-ES"/>
        </w:rPr>
        <w:t xml:space="preserve"> tras el paso del vehículo por el primer puesto de vigilancia, y previendo la ruta que iba a seguir, agentes de policía prepararon el “evento criminal”, ubicándose a los costados de la vía </w:t>
      </w:r>
      <w:r w:rsidR="008B62CC" w:rsidRPr="00F955EE">
        <w:rPr>
          <w:lang w:val="es-ES"/>
        </w:rPr>
        <w:t xml:space="preserve">para luego </w:t>
      </w:r>
      <w:r w:rsidRPr="00F955EE">
        <w:rPr>
          <w:lang w:val="es-ES"/>
        </w:rPr>
        <w:t>proced</w:t>
      </w:r>
      <w:r w:rsidR="008B62CC" w:rsidRPr="00F955EE">
        <w:rPr>
          <w:lang w:val="es-ES"/>
        </w:rPr>
        <w:t>er</w:t>
      </w:r>
      <w:r w:rsidRPr="00F955EE">
        <w:rPr>
          <w:lang w:val="es-ES"/>
        </w:rPr>
        <w:t xml:space="preserve"> a disparar de manera </w:t>
      </w:r>
      <w:r w:rsidRPr="00F955EE">
        <w:rPr>
          <w:color w:val="151515"/>
          <w:lang w:val="es-ES"/>
        </w:rPr>
        <w:t>directa</w:t>
      </w:r>
      <w:r w:rsidRPr="00F955EE">
        <w:rPr>
          <w:lang w:val="es-ES"/>
        </w:rPr>
        <w:t xml:space="preserve"> a la altura de </w:t>
      </w:r>
      <w:r w:rsidR="008B62CC" w:rsidRPr="00F955EE">
        <w:rPr>
          <w:lang w:val="es-ES"/>
        </w:rPr>
        <w:t>lo</w:t>
      </w:r>
      <w:r w:rsidRPr="00F955EE">
        <w:rPr>
          <w:lang w:val="es-ES"/>
        </w:rPr>
        <w:t xml:space="preserve">s cuerpos </w:t>
      </w:r>
      <w:r w:rsidR="008B62CC" w:rsidRPr="00F955EE">
        <w:rPr>
          <w:lang w:val="es-ES"/>
        </w:rPr>
        <w:t xml:space="preserve">de quienes viajaban en </w:t>
      </w:r>
      <w:r w:rsidRPr="00F955EE">
        <w:rPr>
          <w:lang w:val="es-ES"/>
        </w:rPr>
        <w:t xml:space="preserve">el vehículo. </w:t>
      </w:r>
      <w:r w:rsidR="00FA0B0E" w:rsidRPr="00F955EE">
        <w:rPr>
          <w:bCs/>
          <w:lang w:val="es-ES"/>
        </w:rPr>
        <w:t>En los alegatos finales escritos, el representante destacó que el “ataque” a la furgoneta fue un acto planificado y coordinado con el objetivo de “asegurar el resultado”. Según el representante, la policía dispuso de tiempo y espacio necesario</w:t>
      </w:r>
      <w:r w:rsidR="00A32392" w:rsidRPr="00F955EE">
        <w:rPr>
          <w:bCs/>
          <w:lang w:val="es-ES"/>
        </w:rPr>
        <w:t>s</w:t>
      </w:r>
      <w:r w:rsidR="00FA0B0E" w:rsidRPr="00F955EE">
        <w:rPr>
          <w:bCs/>
          <w:lang w:val="es-ES"/>
        </w:rPr>
        <w:t xml:space="preserve"> para poder realizar actos alternativos para detener el vehículo, como por ejemplo “colocar barricadas o interrumpir el paso en el mismo puente por donde cruzó” la furgoneta.</w:t>
      </w:r>
      <w:r w:rsidR="00FA0B0E" w:rsidRPr="00F955EE">
        <w:rPr>
          <w:b/>
          <w:lang w:val="es-ES"/>
        </w:rPr>
        <w:t xml:space="preserve"> </w:t>
      </w:r>
      <w:r w:rsidR="0057478C" w:rsidRPr="00F955EE">
        <w:rPr>
          <w:bCs/>
          <w:lang w:val="es-ES"/>
        </w:rPr>
        <w:t xml:space="preserve">Por otro lado, destacó que el tipo de arma utilizado por la policía fueron fusiles AK, esto es, armas de guerra que no deben ser portadas por la </w:t>
      </w:r>
      <w:r w:rsidR="0090344F">
        <w:rPr>
          <w:bCs/>
          <w:lang w:val="es-ES"/>
        </w:rPr>
        <w:t>P</w:t>
      </w:r>
      <w:r w:rsidR="0057478C" w:rsidRPr="00F955EE">
        <w:rPr>
          <w:bCs/>
          <w:lang w:val="es-ES"/>
        </w:rPr>
        <w:t xml:space="preserve">olicía </w:t>
      </w:r>
      <w:r w:rsidR="0090344F">
        <w:rPr>
          <w:bCs/>
          <w:lang w:val="es-ES"/>
        </w:rPr>
        <w:t>N</w:t>
      </w:r>
      <w:r w:rsidR="0057478C" w:rsidRPr="00F955EE">
        <w:rPr>
          <w:bCs/>
          <w:lang w:val="es-ES"/>
        </w:rPr>
        <w:t xml:space="preserve">acional, ya que dicho cuerpo tiene un objetivo preventivo, mas no bélico. </w:t>
      </w:r>
    </w:p>
    <w:p w14:paraId="1C5C17C1" w14:textId="77777777" w:rsidR="005C3457" w:rsidRPr="00F955EE" w:rsidRDefault="005C3457" w:rsidP="005C3457">
      <w:pPr>
        <w:tabs>
          <w:tab w:val="left" w:pos="567"/>
        </w:tabs>
        <w:rPr>
          <w:lang w:val="es-ES"/>
        </w:rPr>
      </w:pPr>
    </w:p>
    <w:p w14:paraId="730479BC" w14:textId="71086372" w:rsidR="005C3457" w:rsidRPr="00F955EE" w:rsidRDefault="005C3457" w:rsidP="004F0770">
      <w:pPr>
        <w:numPr>
          <w:ilvl w:val="0"/>
          <w:numId w:val="4"/>
        </w:numPr>
        <w:tabs>
          <w:tab w:val="left" w:pos="567"/>
          <w:tab w:val="num" w:pos="1569"/>
          <w:tab w:val="num" w:pos="12305"/>
        </w:tabs>
        <w:ind w:left="0" w:firstLine="0"/>
        <w:rPr>
          <w:lang w:val="es-ES"/>
        </w:rPr>
      </w:pPr>
      <w:r w:rsidRPr="00F955EE">
        <w:rPr>
          <w:lang w:val="es-ES"/>
        </w:rPr>
        <w:t xml:space="preserve">El </w:t>
      </w:r>
      <w:r w:rsidRPr="00F955EE">
        <w:rPr>
          <w:b/>
          <w:i/>
          <w:lang w:val="es-ES"/>
        </w:rPr>
        <w:t>Estado</w:t>
      </w:r>
      <w:r w:rsidRPr="00F955EE">
        <w:rPr>
          <w:lang w:val="es-ES"/>
        </w:rPr>
        <w:t xml:space="preserve"> arguyó que el uso de la fuerza estuvo justificado y fue proporcional. En particular, indicó que el uso de las armas de fuego estuvo justificado debido a: (i) las </w:t>
      </w:r>
      <w:r w:rsidRPr="00F955EE">
        <w:rPr>
          <w:rFonts w:cs="Cambria"/>
          <w:color w:val="000000"/>
          <w:lang w:val="es-ES"/>
        </w:rPr>
        <w:t>altas</w:t>
      </w:r>
      <w:r w:rsidRPr="00F955EE">
        <w:rPr>
          <w:lang w:val="es-ES"/>
        </w:rPr>
        <w:t xml:space="preserve"> horas de la noche en que acaecieron los hechos; (ii) el lugar despoblado donde ocurrió el incidente (fronterizo </w:t>
      </w:r>
      <w:r w:rsidR="0090344F">
        <w:rPr>
          <w:lang w:val="es-ES"/>
        </w:rPr>
        <w:t xml:space="preserve">entre </w:t>
      </w:r>
      <w:r w:rsidRPr="00F955EE">
        <w:rPr>
          <w:lang w:val="es-ES"/>
        </w:rPr>
        <w:t xml:space="preserve">Nicaragua y Honduras); (iii) las características del vehículo de alto desplazamiento (cerrado y con vidrios polarizados) que iba a excesiva velocidad; (iv) el uso de luces altas para minimizar la capacidad de visión que permitiera identificar al conductor, así como el manejo temerario del conductor, y (v) la embestida a miembros de la policía y la fuga posterior. </w:t>
      </w:r>
      <w:r w:rsidR="00B01B86">
        <w:rPr>
          <w:lang w:val="es-ES"/>
        </w:rPr>
        <w:t>Indicó que l</w:t>
      </w:r>
      <w:r w:rsidRPr="00F955EE">
        <w:rPr>
          <w:lang w:val="es-ES"/>
        </w:rPr>
        <w:t>o anterior, valorado en su conjunto, pon</w:t>
      </w:r>
      <w:r w:rsidR="00A32392" w:rsidRPr="00F955EE">
        <w:rPr>
          <w:lang w:val="es-ES"/>
        </w:rPr>
        <w:t>ía</w:t>
      </w:r>
      <w:r w:rsidRPr="00F955EE">
        <w:rPr>
          <w:lang w:val="es-ES"/>
        </w:rPr>
        <w:t xml:space="preserve"> de manifiesto la negativa del conductor de la furgoneta de someterse a las señales de detención de </w:t>
      </w:r>
      <w:r w:rsidR="0090344F">
        <w:rPr>
          <w:lang w:val="es-ES"/>
        </w:rPr>
        <w:t>los agentes estatales</w:t>
      </w:r>
      <w:r w:rsidR="00A32392" w:rsidRPr="00F955EE">
        <w:rPr>
          <w:lang w:val="es-ES"/>
        </w:rPr>
        <w:t xml:space="preserve"> y revelaba </w:t>
      </w:r>
      <w:r w:rsidRPr="00F955EE">
        <w:rPr>
          <w:lang w:val="es-ES"/>
        </w:rPr>
        <w:t>la puesta en peligro a la vida e integridad física de</w:t>
      </w:r>
      <w:r w:rsidR="0090344F">
        <w:rPr>
          <w:lang w:val="es-ES"/>
        </w:rPr>
        <w:t xml:space="preserve"> estos</w:t>
      </w:r>
      <w:r w:rsidRPr="00F955EE">
        <w:rPr>
          <w:lang w:val="es-ES"/>
        </w:rPr>
        <w:t>. Según el Estado, el vehículo se convirtió en un instrumento potencialmente mortal</w:t>
      </w:r>
      <w:r w:rsidR="0090344F">
        <w:rPr>
          <w:lang w:val="es-ES"/>
        </w:rPr>
        <w:t>,</w:t>
      </w:r>
      <w:r w:rsidRPr="00F955EE">
        <w:rPr>
          <w:lang w:val="es-ES"/>
        </w:rPr>
        <w:t xml:space="preserve"> considerando la combinación de velocidad, masa y potencia. Asimismo, el Estado </w:t>
      </w:r>
      <w:r w:rsidRPr="00F955EE">
        <w:rPr>
          <w:color w:val="151515"/>
          <w:lang w:val="es-ES"/>
        </w:rPr>
        <w:t>añadió</w:t>
      </w:r>
      <w:r w:rsidRPr="00F955EE">
        <w:rPr>
          <w:rFonts w:eastAsia="Verdana" w:cs="Verdana"/>
          <w:lang w:val="es-ES"/>
        </w:rPr>
        <w:t xml:space="preserve"> que</w:t>
      </w:r>
      <w:r w:rsidRPr="00F955EE">
        <w:rPr>
          <w:lang w:val="es-ES"/>
        </w:rPr>
        <w:t xml:space="preserve"> </w:t>
      </w:r>
      <w:r w:rsidR="0090344F">
        <w:rPr>
          <w:lang w:val="es-ES"/>
        </w:rPr>
        <w:t xml:space="preserve">en </w:t>
      </w:r>
      <w:r w:rsidRPr="00F955EE">
        <w:rPr>
          <w:lang w:val="es-ES"/>
        </w:rPr>
        <w:t xml:space="preserve">la investigación penal no se logró acreditar directa o indirectamente que las fuerzas policiales actuaron con pleno conocimiento de causa o con convencimiento de que en el vehículo que rehusó a detenerse se transportaban personas. </w:t>
      </w:r>
      <w:r w:rsidR="00E60B2C" w:rsidRPr="00F955EE">
        <w:rPr>
          <w:bCs/>
          <w:lang w:val="es-ES"/>
        </w:rPr>
        <w:t xml:space="preserve">En sus alegatos finales escritos, el Estado destacó que, según las diligencias de investigación policial y judicial realizadas a nivel interno, la conducta de los oficiales de policía intervinientes en el operativo no tuvo como finalidad un control migratorio, sino la interceptación de contrabando aduanero. </w:t>
      </w:r>
      <w:r w:rsidR="00B01B86">
        <w:rPr>
          <w:bCs/>
          <w:lang w:val="es-ES"/>
        </w:rPr>
        <w:t>Finalmente a</w:t>
      </w:r>
      <w:r w:rsidR="00E60B2C" w:rsidRPr="00F955EE">
        <w:rPr>
          <w:bCs/>
          <w:lang w:val="es-ES"/>
        </w:rPr>
        <w:t xml:space="preserve">ñadió que, frente a las circunstancias concretas del caso, los agentes de policía “minimizaron, en la medida de lo posible”, el recurso a la fuerza letal. </w:t>
      </w:r>
    </w:p>
    <w:p w14:paraId="78A8CA95" w14:textId="4BD30D11" w:rsidR="00D60CA8" w:rsidRPr="00F955EE" w:rsidRDefault="00D8493A" w:rsidP="00E06F63">
      <w:pPr>
        <w:pStyle w:val="Ttulo3"/>
        <w:rPr>
          <w:lang w:val="es-ES"/>
        </w:rPr>
      </w:pPr>
      <w:r w:rsidRPr="00F955EE">
        <w:rPr>
          <w:lang w:val="es-ES"/>
        </w:rPr>
        <w:tab/>
      </w:r>
      <w:bookmarkStart w:id="39" w:name="_Toc24447090"/>
      <w:bookmarkStart w:id="40" w:name="_Toc43216154"/>
      <w:r w:rsidR="00D60CA8" w:rsidRPr="00F955EE">
        <w:rPr>
          <w:lang w:val="es-ES"/>
        </w:rPr>
        <w:t xml:space="preserve">a.2 </w:t>
      </w:r>
      <w:bookmarkEnd w:id="39"/>
      <w:r w:rsidR="007B5BB3" w:rsidRPr="00F955EE">
        <w:rPr>
          <w:lang w:val="es-ES"/>
        </w:rPr>
        <w:t>Deber de adoptar disposiciones de derecho interno</w:t>
      </w:r>
      <w:bookmarkEnd w:id="40"/>
    </w:p>
    <w:p w14:paraId="0410172C" w14:textId="3014D336" w:rsidR="005C3457" w:rsidRPr="00F955EE" w:rsidRDefault="0090344F" w:rsidP="004F0770">
      <w:pPr>
        <w:numPr>
          <w:ilvl w:val="0"/>
          <w:numId w:val="4"/>
        </w:numPr>
        <w:tabs>
          <w:tab w:val="left" w:pos="567"/>
          <w:tab w:val="num" w:pos="1569"/>
          <w:tab w:val="num" w:pos="12305"/>
        </w:tabs>
        <w:ind w:left="0" w:firstLine="0"/>
        <w:rPr>
          <w:lang w:val="es-ES"/>
        </w:rPr>
      </w:pPr>
      <w:r>
        <w:rPr>
          <w:lang w:val="es-ES"/>
        </w:rPr>
        <w:t>L</w:t>
      </w:r>
      <w:r w:rsidR="005C3457" w:rsidRPr="00F955EE">
        <w:rPr>
          <w:lang w:val="es-ES"/>
        </w:rPr>
        <w:t xml:space="preserve">a </w:t>
      </w:r>
      <w:r w:rsidR="005C3457" w:rsidRPr="00F955EE">
        <w:rPr>
          <w:b/>
          <w:i/>
          <w:lang w:val="es-ES"/>
        </w:rPr>
        <w:t xml:space="preserve">Comisión </w:t>
      </w:r>
      <w:r w:rsidR="005C3457" w:rsidRPr="00F955EE">
        <w:rPr>
          <w:bCs/>
          <w:iCs/>
          <w:lang w:val="es-ES"/>
        </w:rPr>
        <w:t>indicó que</w:t>
      </w:r>
      <w:r>
        <w:rPr>
          <w:bCs/>
          <w:iCs/>
          <w:lang w:val="es-ES"/>
        </w:rPr>
        <w:t>,</w:t>
      </w:r>
      <w:r w:rsidR="005C3457" w:rsidRPr="00F955EE">
        <w:rPr>
          <w:bCs/>
          <w:iCs/>
          <w:lang w:val="es-ES"/>
        </w:rPr>
        <w:t xml:space="preserve"> al momento de los hechos</w:t>
      </w:r>
      <w:r>
        <w:rPr>
          <w:bCs/>
          <w:iCs/>
          <w:lang w:val="es-ES"/>
        </w:rPr>
        <w:t>,</w:t>
      </w:r>
      <w:r w:rsidR="005C3457" w:rsidRPr="00F955EE">
        <w:rPr>
          <w:bCs/>
          <w:iCs/>
          <w:lang w:val="es-ES"/>
        </w:rPr>
        <w:t xml:space="preserve"> aún no se encontraba vigente en Nicaragua la Ley </w:t>
      </w:r>
      <w:r w:rsidR="007B5A16" w:rsidRPr="00F955EE">
        <w:rPr>
          <w:bCs/>
          <w:iCs/>
          <w:lang w:val="es-ES"/>
        </w:rPr>
        <w:t>Orgánica</w:t>
      </w:r>
      <w:r w:rsidR="005C3457" w:rsidRPr="00F955EE">
        <w:rPr>
          <w:bCs/>
          <w:iCs/>
          <w:lang w:val="es-ES"/>
        </w:rPr>
        <w:t xml:space="preserve"> de la Policía Nacional, publicada el 28 de agosto de 1996. Precisó que</w:t>
      </w:r>
      <w:r w:rsidR="001B6885">
        <w:rPr>
          <w:bCs/>
          <w:iCs/>
          <w:lang w:val="es-ES"/>
        </w:rPr>
        <w:t>,</w:t>
      </w:r>
      <w:r w:rsidR="005C3457" w:rsidRPr="00F955EE">
        <w:rPr>
          <w:bCs/>
          <w:iCs/>
          <w:lang w:val="es-ES"/>
        </w:rPr>
        <w:t xml:space="preserve"> al momento de los hechos</w:t>
      </w:r>
      <w:r w:rsidR="001B6885">
        <w:rPr>
          <w:bCs/>
          <w:iCs/>
          <w:lang w:val="es-ES"/>
        </w:rPr>
        <w:t>,</w:t>
      </w:r>
      <w:r w:rsidR="005C3457" w:rsidRPr="00F955EE">
        <w:rPr>
          <w:bCs/>
          <w:iCs/>
          <w:lang w:val="es-ES"/>
        </w:rPr>
        <w:t xml:space="preserve"> la función y organización de la Policía Nacional se regulaba a través del Decreto Ejecutivo No. 45-92</w:t>
      </w:r>
      <w:r>
        <w:rPr>
          <w:bCs/>
          <w:iCs/>
          <w:lang w:val="es-ES"/>
        </w:rPr>
        <w:t>,</w:t>
      </w:r>
      <w:r w:rsidR="005C3457" w:rsidRPr="00F955EE">
        <w:rPr>
          <w:bCs/>
          <w:iCs/>
          <w:lang w:val="es-ES"/>
        </w:rPr>
        <w:t xml:space="preserve"> el cual establecía que el empleo de las armas </w:t>
      </w:r>
      <w:r w:rsidR="001749B2" w:rsidRPr="00F955EE">
        <w:rPr>
          <w:bCs/>
          <w:iCs/>
          <w:lang w:val="es-ES"/>
        </w:rPr>
        <w:t>s</w:t>
      </w:r>
      <w:r w:rsidR="005C3457" w:rsidRPr="00F955EE">
        <w:rPr>
          <w:bCs/>
          <w:iCs/>
          <w:lang w:val="es-ES"/>
        </w:rPr>
        <w:t>e utilizaría únicamente en situaciones en que exist</w:t>
      </w:r>
      <w:r w:rsidR="009F332C" w:rsidRPr="00F955EE">
        <w:rPr>
          <w:bCs/>
          <w:iCs/>
          <w:lang w:val="es-ES"/>
        </w:rPr>
        <w:t>iera</w:t>
      </w:r>
      <w:r w:rsidR="005C3457" w:rsidRPr="00F955EE">
        <w:rPr>
          <w:bCs/>
          <w:iCs/>
          <w:lang w:val="es-ES"/>
        </w:rPr>
        <w:t xml:space="preserve"> un riesgo racionalmente grave para su vida, integridad física o de terceras personas, o cuando p</w:t>
      </w:r>
      <w:r w:rsidR="009F332C" w:rsidRPr="00F955EE">
        <w:rPr>
          <w:bCs/>
          <w:iCs/>
          <w:lang w:val="es-ES"/>
        </w:rPr>
        <w:t>udiera</w:t>
      </w:r>
      <w:r w:rsidR="005C3457" w:rsidRPr="00F955EE">
        <w:rPr>
          <w:bCs/>
          <w:iCs/>
          <w:lang w:val="es-ES"/>
        </w:rPr>
        <w:t xml:space="preserve"> suponer un grave riesgo para el orden público. Agregó que, no obstante dicha regulación, el Estado no había demostrado que al momento de los hechos existiera una reglamentación clara con una política de prevención para el uso de la fuerza de conformidad con sus obligaciones internacionales en la materia. Añadió que no constaba en el expediente información con respecto a la existencia de protocolos de supervisión o de control de </w:t>
      </w:r>
      <w:r w:rsidR="00392178" w:rsidRPr="00F955EE">
        <w:rPr>
          <w:bCs/>
          <w:iCs/>
          <w:lang w:val="es-ES"/>
        </w:rPr>
        <w:t>operativos</w:t>
      </w:r>
      <w:r w:rsidR="005C3457" w:rsidRPr="00F955EE">
        <w:rPr>
          <w:bCs/>
          <w:iCs/>
          <w:lang w:val="es-ES"/>
        </w:rPr>
        <w:t xml:space="preserve"> para usar válidamente la fuerza.</w:t>
      </w:r>
      <w:r w:rsidR="005C3457" w:rsidRPr="00F955EE">
        <w:rPr>
          <w:b/>
          <w:iCs/>
          <w:lang w:val="es-ES"/>
        </w:rPr>
        <w:t xml:space="preserve"> </w:t>
      </w:r>
    </w:p>
    <w:p w14:paraId="5EBE4785" w14:textId="77777777" w:rsidR="005C3457" w:rsidRPr="00F955EE" w:rsidRDefault="005C3457" w:rsidP="005C3457">
      <w:pPr>
        <w:tabs>
          <w:tab w:val="left" w:pos="567"/>
        </w:tabs>
        <w:rPr>
          <w:lang w:val="es-ES"/>
        </w:rPr>
      </w:pPr>
    </w:p>
    <w:p w14:paraId="120BB274" w14:textId="6EEDE0AF" w:rsidR="005C3457" w:rsidRPr="00F955EE" w:rsidRDefault="005C3457" w:rsidP="004F0770">
      <w:pPr>
        <w:numPr>
          <w:ilvl w:val="0"/>
          <w:numId w:val="4"/>
        </w:numPr>
        <w:tabs>
          <w:tab w:val="left" w:pos="567"/>
          <w:tab w:val="num" w:pos="1569"/>
          <w:tab w:val="num" w:pos="12305"/>
        </w:tabs>
        <w:ind w:left="0" w:firstLine="0"/>
        <w:rPr>
          <w:b/>
          <w:bCs/>
          <w:color w:val="000000"/>
          <w:lang w:val="es-ES"/>
        </w:rPr>
      </w:pPr>
      <w:r w:rsidRPr="00F955EE">
        <w:rPr>
          <w:bCs/>
          <w:color w:val="000000"/>
          <w:lang w:val="es-ES"/>
        </w:rPr>
        <w:lastRenderedPageBreak/>
        <w:t xml:space="preserve">El </w:t>
      </w:r>
      <w:r w:rsidRPr="00F955EE">
        <w:rPr>
          <w:rFonts w:cs="Cambria"/>
          <w:b/>
          <w:i/>
          <w:color w:val="000000"/>
          <w:lang w:val="es-ES"/>
        </w:rPr>
        <w:t>representante</w:t>
      </w:r>
      <w:r w:rsidRPr="00F955EE">
        <w:rPr>
          <w:bCs/>
          <w:color w:val="000000"/>
          <w:lang w:val="es-ES"/>
        </w:rPr>
        <w:t xml:space="preserve"> se adhirió a los alegatos de la Comisión. </w:t>
      </w:r>
    </w:p>
    <w:p w14:paraId="65C9BDF7" w14:textId="77777777" w:rsidR="005C3457" w:rsidRPr="00F955EE" w:rsidRDefault="005C3457" w:rsidP="005C3457">
      <w:pPr>
        <w:pStyle w:val="Prrafodelista"/>
        <w:spacing w:line="20" w:lineRule="atLeast"/>
        <w:ind w:left="0"/>
        <w:rPr>
          <w:b/>
          <w:bCs/>
          <w:color w:val="000000"/>
          <w:lang w:val="es-ES"/>
        </w:rPr>
      </w:pPr>
    </w:p>
    <w:p w14:paraId="7AA91306" w14:textId="6DEDB2CE" w:rsidR="007B5BB3" w:rsidRPr="00F955EE" w:rsidRDefault="005C3457" w:rsidP="004F0770">
      <w:pPr>
        <w:numPr>
          <w:ilvl w:val="0"/>
          <w:numId w:val="4"/>
        </w:numPr>
        <w:tabs>
          <w:tab w:val="left" w:pos="567"/>
          <w:tab w:val="num" w:pos="1569"/>
          <w:tab w:val="num" w:pos="12305"/>
        </w:tabs>
        <w:ind w:left="0" w:firstLine="0"/>
        <w:rPr>
          <w:b/>
          <w:bCs/>
          <w:color w:val="000000"/>
          <w:lang w:val="es-ES"/>
        </w:rPr>
      </w:pPr>
      <w:r w:rsidRPr="00F955EE">
        <w:rPr>
          <w:lang w:val="es-ES"/>
        </w:rPr>
        <w:t xml:space="preserve">El </w:t>
      </w:r>
      <w:r w:rsidRPr="00F955EE">
        <w:rPr>
          <w:b/>
          <w:i/>
          <w:lang w:val="es-ES"/>
        </w:rPr>
        <w:t>Estado</w:t>
      </w:r>
      <w:r w:rsidRPr="00F955EE">
        <w:rPr>
          <w:i/>
          <w:lang w:val="es-ES"/>
        </w:rPr>
        <w:t xml:space="preserve"> </w:t>
      </w:r>
      <w:r w:rsidRPr="00F955EE">
        <w:rPr>
          <w:rFonts w:eastAsia="Verdana" w:cs="Verdana"/>
          <w:lang w:val="es-ES"/>
        </w:rPr>
        <w:t xml:space="preserve">indicó que el marco jurídico de la actuación policial estaba regulado por: (i) </w:t>
      </w:r>
      <w:r w:rsidR="0090344F">
        <w:rPr>
          <w:rFonts w:eastAsia="Verdana" w:cs="Verdana"/>
          <w:lang w:val="es-ES"/>
        </w:rPr>
        <w:t xml:space="preserve">los </w:t>
      </w:r>
      <w:r w:rsidRPr="00F955EE">
        <w:rPr>
          <w:rFonts w:eastAsia="Verdana" w:cs="Verdana"/>
          <w:lang w:val="es-ES"/>
        </w:rPr>
        <w:t>artículo</w:t>
      </w:r>
      <w:r w:rsidR="0090344F">
        <w:rPr>
          <w:rFonts w:eastAsia="Verdana" w:cs="Verdana"/>
          <w:lang w:val="es-ES"/>
        </w:rPr>
        <w:t>s</w:t>
      </w:r>
      <w:r w:rsidRPr="00F955EE">
        <w:rPr>
          <w:rFonts w:eastAsia="Verdana" w:cs="Verdana"/>
          <w:lang w:val="es-ES"/>
        </w:rPr>
        <w:t xml:space="preserve"> 97 y 144 de la </w:t>
      </w:r>
      <w:r w:rsidRPr="00F955EE">
        <w:rPr>
          <w:lang w:val="es-ES"/>
        </w:rPr>
        <w:t>Constitución</w:t>
      </w:r>
      <w:r w:rsidRPr="00F955EE">
        <w:rPr>
          <w:rFonts w:eastAsia="Verdana" w:cs="Verdana"/>
          <w:lang w:val="es-ES"/>
        </w:rPr>
        <w:t xml:space="preserve"> Política; (ii) la Ley No. 144, “Ley de Funciones de la Policía Nacional en </w:t>
      </w:r>
      <w:r w:rsidRPr="00F955EE">
        <w:rPr>
          <w:color w:val="151515"/>
          <w:lang w:val="es-ES"/>
        </w:rPr>
        <w:t>materia</w:t>
      </w:r>
      <w:r w:rsidRPr="00F955EE">
        <w:rPr>
          <w:rFonts w:eastAsia="Verdana" w:cs="Verdana"/>
          <w:lang w:val="es-ES"/>
        </w:rPr>
        <w:t xml:space="preserve"> de Auxilio Judicial”, publicada el 25 de marzo de 1992; (iii) </w:t>
      </w:r>
      <w:r w:rsidR="0090344F">
        <w:rPr>
          <w:rFonts w:eastAsia="Verdana" w:cs="Verdana"/>
          <w:lang w:val="es-ES"/>
        </w:rPr>
        <w:t xml:space="preserve">el </w:t>
      </w:r>
      <w:r w:rsidRPr="00F955EE">
        <w:rPr>
          <w:rFonts w:eastAsia="Verdana" w:cs="Verdana"/>
          <w:lang w:val="es-ES"/>
        </w:rPr>
        <w:t>Decreto N</w:t>
      </w:r>
      <w:r w:rsidR="004B1895" w:rsidRPr="00F955EE">
        <w:rPr>
          <w:rFonts w:eastAsia="Verdana" w:cs="Verdana"/>
          <w:lang w:val="es-ES"/>
        </w:rPr>
        <w:t>o.</w:t>
      </w:r>
      <w:r w:rsidRPr="00F955EE">
        <w:rPr>
          <w:rFonts w:eastAsia="Verdana" w:cs="Verdana"/>
          <w:lang w:val="es-ES"/>
        </w:rPr>
        <w:t xml:space="preserve"> 45-92 “Ley Orgánica de la Policía Nacional”, publicad</w:t>
      </w:r>
      <w:r w:rsidR="0090344F">
        <w:rPr>
          <w:rFonts w:eastAsia="Verdana" w:cs="Verdana"/>
          <w:lang w:val="es-ES"/>
        </w:rPr>
        <w:t>o</w:t>
      </w:r>
      <w:r w:rsidRPr="00F955EE">
        <w:rPr>
          <w:rFonts w:eastAsia="Verdana" w:cs="Verdana"/>
          <w:lang w:val="es-ES"/>
        </w:rPr>
        <w:t xml:space="preserve"> el 7 de septiembre de 1992; (iv) </w:t>
      </w:r>
      <w:r w:rsidR="009F332C" w:rsidRPr="00F955EE">
        <w:rPr>
          <w:rFonts w:eastAsia="Verdana" w:cs="Verdana"/>
          <w:lang w:val="es-ES"/>
        </w:rPr>
        <w:t xml:space="preserve">el </w:t>
      </w:r>
      <w:r w:rsidRPr="00F955EE">
        <w:rPr>
          <w:rFonts w:eastAsia="Verdana" w:cs="Verdana"/>
          <w:lang w:val="es-ES"/>
        </w:rPr>
        <w:t xml:space="preserve">Código de conducta para funcionario encargados de hacer cumplir la ley, y (v) </w:t>
      </w:r>
      <w:r w:rsidR="009F332C" w:rsidRPr="00F955EE">
        <w:rPr>
          <w:rFonts w:eastAsia="Verdana" w:cs="Verdana"/>
          <w:lang w:val="es-ES"/>
        </w:rPr>
        <w:t xml:space="preserve">la </w:t>
      </w:r>
      <w:r w:rsidRPr="00F955EE">
        <w:rPr>
          <w:rFonts w:eastAsia="Verdana" w:cs="Verdana"/>
          <w:lang w:val="es-ES"/>
        </w:rPr>
        <w:t xml:space="preserve">Resolución </w:t>
      </w:r>
      <w:r w:rsidR="0090344F">
        <w:rPr>
          <w:rFonts w:eastAsia="Verdana" w:cs="Verdana"/>
          <w:lang w:val="es-ES"/>
        </w:rPr>
        <w:t xml:space="preserve">No. </w:t>
      </w:r>
      <w:r w:rsidRPr="00F955EE">
        <w:rPr>
          <w:rFonts w:eastAsia="Verdana" w:cs="Verdana"/>
          <w:lang w:val="es-ES"/>
        </w:rPr>
        <w:t>169/34 de la Asamblea General de las Naciones Unidas.</w:t>
      </w:r>
    </w:p>
    <w:p w14:paraId="57051842" w14:textId="29F7844E" w:rsidR="00061A1C" w:rsidRPr="00F955EE" w:rsidRDefault="00E04DEA" w:rsidP="00061A1C">
      <w:pPr>
        <w:pStyle w:val="Ttulo2"/>
        <w:rPr>
          <w:lang w:val="es-ES"/>
        </w:rPr>
      </w:pPr>
      <w:bookmarkStart w:id="41" w:name="_Toc24447092"/>
      <w:bookmarkStart w:id="42" w:name="_Toc43216155"/>
      <w:r w:rsidRPr="00F955EE">
        <w:rPr>
          <w:lang w:val="es-ES"/>
        </w:rPr>
        <w:t>B.</w:t>
      </w:r>
      <w:r w:rsidRPr="00F955EE">
        <w:rPr>
          <w:lang w:val="es-ES"/>
        </w:rPr>
        <w:tab/>
        <w:t>Consideraciones de la Corte</w:t>
      </w:r>
      <w:bookmarkEnd w:id="41"/>
      <w:bookmarkEnd w:id="42"/>
    </w:p>
    <w:p w14:paraId="0398DA41" w14:textId="179B6BF8" w:rsidR="003A55B9" w:rsidRPr="00F955EE" w:rsidRDefault="000136C2" w:rsidP="004F0770">
      <w:pPr>
        <w:numPr>
          <w:ilvl w:val="0"/>
          <w:numId w:val="4"/>
        </w:numPr>
        <w:tabs>
          <w:tab w:val="left" w:pos="567"/>
          <w:tab w:val="num" w:pos="1569"/>
          <w:tab w:val="num" w:pos="12305"/>
        </w:tabs>
        <w:ind w:left="0" w:firstLine="0"/>
        <w:rPr>
          <w:bCs/>
          <w:lang w:val="es-ES"/>
        </w:rPr>
      </w:pPr>
      <w:r w:rsidRPr="00F955EE">
        <w:rPr>
          <w:lang w:val="es-ES"/>
        </w:rPr>
        <w:t xml:space="preserve">A continuación, la Corte analizará los hechos del presente caso a la luz de lo expresado en su jurisprudencia constante sobre </w:t>
      </w:r>
      <w:r w:rsidR="00011F18">
        <w:rPr>
          <w:lang w:val="es-ES"/>
        </w:rPr>
        <w:t>los</w:t>
      </w:r>
      <w:r w:rsidR="00011F18" w:rsidRPr="00F955EE">
        <w:rPr>
          <w:lang w:val="es-ES"/>
        </w:rPr>
        <w:t xml:space="preserve"> </w:t>
      </w:r>
      <w:r w:rsidRPr="00F955EE">
        <w:rPr>
          <w:lang w:val="es-ES"/>
        </w:rPr>
        <w:t>derecho</w:t>
      </w:r>
      <w:r w:rsidR="00011F18">
        <w:rPr>
          <w:lang w:val="es-ES"/>
        </w:rPr>
        <w:t>s</w:t>
      </w:r>
      <w:r w:rsidRPr="00F955EE">
        <w:rPr>
          <w:lang w:val="es-ES"/>
        </w:rPr>
        <w:t xml:space="preserve"> a la vida e integridad personal en relación con las obligaciones de respeto y garantía</w:t>
      </w:r>
      <w:r w:rsidRPr="00F955EE">
        <w:rPr>
          <w:rStyle w:val="Refdenotaalpie"/>
          <w:lang w:val="es-ES"/>
        </w:rPr>
        <w:footnoteReference w:id="57"/>
      </w:r>
      <w:r w:rsidRPr="00F955EE">
        <w:rPr>
          <w:lang w:val="es-ES"/>
        </w:rPr>
        <w:t xml:space="preserve"> y </w:t>
      </w:r>
      <w:r w:rsidR="001B78D5" w:rsidRPr="00F955EE">
        <w:rPr>
          <w:lang w:val="es-ES"/>
        </w:rPr>
        <w:t xml:space="preserve">de adoptar disposiciones de derecho interno </w:t>
      </w:r>
      <w:r w:rsidRPr="00F955EE">
        <w:rPr>
          <w:lang w:val="es-ES"/>
        </w:rPr>
        <w:t>en materia de uso de la fuerza</w:t>
      </w:r>
      <w:r w:rsidRPr="00F955EE">
        <w:rPr>
          <w:rStyle w:val="Refdenotaalpie"/>
          <w:lang w:val="es-ES"/>
        </w:rPr>
        <w:footnoteReference w:id="58"/>
      </w:r>
      <w:r w:rsidRPr="00F955EE">
        <w:rPr>
          <w:lang w:val="es-ES"/>
        </w:rPr>
        <w:t>, a</w:t>
      </w:r>
      <w:r w:rsidRPr="00F955EE">
        <w:rPr>
          <w:b/>
          <w:bCs/>
          <w:lang w:val="es-ES"/>
        </w:rPr>
        <w:t xml:space="preserve"> </w:t>
      </w:r>
      <w:r w:rsidRPr="00F955EE">
        <w:rPr>
          <w:bCs/>
          <w:lang w:val="es-ES"/>
        </w:rPr>
        <w:t>fin de pronunciarse sobre la alegada violación de los referidos derechos.</w:t>
      </w:r>
      <w:r w:rsidR="00967D0B" w:rsidRPr="00F955EE">
        <w:rPr>
          <w:bCs/>
          <w:lang w:val="es-ES"/>
        </w:rPr>
        <w:t xml:space="preserve"> </w:t>
      </w:r>
      <w:r w:rsidR="00D62195" w:rsidRPr="00F955EE">
        <w:rPr>
          <w:bCs/>
          <w:lang w:val="es-ES"/>
        </w:rPr>
        <w:t>La Corte no analizará la eventual violación de los artículos 22.1, 22.4 y 24 de la Convención Americana alegada por el representante, por cuanto no se presentaron argumentos y elementos probatorios que fundamentaran y acreditaran las violaciones indicadas.</w:t>
      </w:r>
    </w:p>
    <w:p w14:paraId="066B816A" w14:textId="77777777" w:rsidR="003A55B9" w:rsidRPr="00F955EE" w:rsidRDefault="003A55B9" w:rsidP="00063927">
      <w:pPr>
        <w:tabs>
          <w:tab w:val="left" w:pos="567"/>
        </w:tabs>
        <w:rPr>
          <w:bCs/>
          <w:lang w:val="es-ES"/>
        </w:rPr>
      </w:pPr>
    </w:p>
    <w:p w14:paraId="24A68484" w14:textId="03723A31" w:rsidR="008D1DB7" w:rsidRPr="00F955EE" w:rsidRDefault="000D38AF" w:rsidP="004F0770">
      <w:pPr>
        <w:numPr>
          <w:ilvl w:val="0"/>
          <w:numId w:val="4"/>
        </w:numPr>
        <w:tabs>
          <w:tab w:val="left" w:pos="567"/>
          <w:tab w:val="num" w:pos="1569"/>
          <w:tab w:val="num" w:pos="12305"/>
        </w:tabs>
        <w:ind w:left="0" w:firstLine="0"/>
        <w:rPr>
          <w:rFonts w:eastAsia="Batang"/>
          <w:lang w:val="es-ES"/>
        </w:rPr>
      </w:pPr>
      <w:r w:rsidRPr="00F955EE">
        <w:rPr>
          <w:bCs/>
          <w:lang w:val="es-ES"/>
        </w:rPr>
        <w:t>La</w:t>
      </w:r>
      <w:r w:rsidRPr="00F955EE">
        <w:rPr>
          <w:lang w:val="es-ES"/>
        </w:rPr>
        <w:t xml:space="preserve"> Corte </w:t>
      </w:r>
      <w:r w:rsidR="001B78D5" w:rsidRPr="00F955EE">
        <w:rPr>
          <w:lang w:val="es-ES"/>
        </w:rPr>
        <w:t>advierte</w:t>
      </w:r>
      <w:r w:rsidRPr="00F955EE">
        <w:rPr>
          <w:lang w:val="es-ES"/>
        </w:rPr>
        <w:t xml:space="preserve"> que </w:t>
      </w:r>
      <w:r w:rsidR="00067CFB" w:rsidRPr="00F955EE">
        <w:rPr>
          <w:lang w:val="es-ES"/>
        </w:rPr>
        <w:t xml:space="preserve">no existe controversia con respecto al hecho de que el 14 de abril de 1996, aproximadamente sobre las 20:00 horas, agentes estatales </w:t>
      </w:r>
      <w:r w:rsidR="00AD7197" w:rsidRPr="00F955EE">
        <w:rPr>
          <w:lang w:val="es-ES"/>
        </w:rPr>
        <w:t xml:space="preserve">(miembros de la Policía Nacional y al menos un militar) </w:t>
      </w:r>
      <w:r w:rsidR="00067CFB" w:rsidRPr="00F955EE">
        <w:rPr>
          <w:bCs/>
          <w:lang w:val="es-ES"/>
        </w:rPr>
        <w:t>realizaron</w:t>
      </w:r>
      <w:r w:rsidR="00067CFB" w:rsidRPr="00F955EE">
        <w:rPr>
          <w:lang w:val="es-ES"/>
        </w:rPr>
        <w:t xml:space="preserve"> varios disparos hacia una furgoneta con el objeto de </w:t>
      </w:r>
      <w:r w:rsidR="00AD59D3" w:rsidRPr="00F955EE">
        <w:rPr>
          <w:lang w:val="es-ES"/>
        </w:rPr>
        <w:t>detenerla</w:t>
      </w:r>
      <w:r w:rsidR="000726E9" w:rsidRPr="00F955EE">
        <w:rPr>
          <w:rFonts w:cs="Verdana"/>
          <w:lang w:val="es-ES"/>
        </w:rPr>
        <w:t xml:space="preserve">, ya que esta previamente no se </w:t>
      </w:r>
      <w:r w:rsidR="000726E9" w:rsidRPr="00F955EE">
        <w:rPr>
          <w:lang w:val="es-ES"/>
        </w:rPr>
        <w:t>había</w:t>
      </w:r>
      <w:r w:rsidR="000726E9" w:rsidRPr="00F955EE">
        <w:rPr>
          <w:rFonts w:cs="Verdana"/>
          <w:lang w:val="es-ES"/>
        </w:rPr>
        <w:t xml:space="preserve"> </w:t>
      </w:r>
      <w:r w:rsidR="005B6B55" w:rsidRPr="00F955EE">
        <w:rPr>
          <w:rFonts w:cs="Verdana"/>
          <w:lang w:val="es-ES"/>
        </w:rPr>
        <w:t>de</w:t>
      </w:r>
      <w:r w:rsidR="000726E9" w:rsidRPr="00F955EE">
        <w:rPr>
          <w:rFonts w:cs="Verdana"/>
          <w:lang w:val="es-ES"/>
        </w:rPr>
        <w:t>tenido</w:t>
      </w:r>
      <w:r w:rsidR="000726E9" w:rsidRPr="00F955EE">
        <w:rPr>
          <w:lang w:val="es-ES"/>
        </w:rPr>
        <w:t xml:space="preserve"> en un </w:t>
      </w:r>
      <w:r w:rsidR="005B6B55" w:rsidRPr="00F955EE">
        <w:rPr>
          <w:lang w:val="es-ES"/>
        </w:rPr>
        <w:t>primer retén</w:t>
      </w:r>
      <w:r w:rsidR="000726E9" w:rsidRPr="00F955EE">
        <w:rPr>
          <w:lang w:val="es-ES"/>
        </w:rPr>
        <w:t xml:space="preserve"> instalado a los efectos </w:t>
      </w:r>
      <w:r w:rsidR="005B6B55" w:rsidRPr="00F955EE">
        <w:rPr>
          <w:lang w:val="es-ES"/>
        </w:rPr>
        <w:t>de realizar actividades de control de mercancías</w:t>
      </w:r>
      <w:r w:rsidR="00067CFB" w:rsidRPr="00F955EE">
        <w:rPr>
          <w:lang w:val="es-ES"/>
        </w:rPr>
        <w:t xml:space="preserve">. </w:t>
      </w:r>
    </w:p>
    <w:p w14:paraId="5BB07D87" w14:textId="77777777" w:rsidR="000726E9" w:rsidRPr="00F955EE" w:rsidRDefault="000726E9" w:rsidP="008D1DB7">
      <w:pPr>
        <w:tabs>
          <w:tab w:val="left" w:pos="567"/>
        </w:tabs>
        <w:rPr>
          <w:rFonts w:eastAsia="Batang"/>
          <w:lang w:val="es-ES"/>
        </w:rPr>
      </w:pPr>
    </w:p>
    <w:p w14:paraId="26B40FFC" w14:textId="15A9678E" w:rsidR="000726E9" w:rsidRPr="00F955EE" w:rsidRDefault="008D1DB7" w:rsidP="004F0770">
      <w:pPr>
        <w:numPr>
          <w:ilvl w:val="0"/>
          <w:numId w:val="4"/>
        </w:numPr>
        <w:tabs>
          <w:tab w:val="left" w:pos="567"/>
          <w:tab w:val="num" w:pos="1569"/>
          <w:tab w:val="num" w:pos="12305"/>
        </w:tabs>
        <w:ind w:left="0" w:firstLine="0"/>
        <w:rPr>
          <w:rFonts w:eastAsia="Batang"/>
          <w:lang w:val="es-ES"/>
        </w:rPr>
      </w:pPr>
      <w:r w:rsidRPr="00F955EE">
        <w:rPr>
          <w:bCs/>
          <w:lang w:val="es-ES"/>
        </w:rPr>
        <w:t>L</w:t>
      </w:r>
      <w:r w:rsidR="000726E9" w:rsidRPr="00F955EE">
        <w:rPr>
          <w:bCs/>
          <w:lang w:val="es-ES"/>
        </w:rPr>
        <w:t xml:space="preserve">a Corte observa que </w:t>
      </w:r>
      <w:r w:rsidR="00FC7D0E" w:rsidRPr="00FC7D0E">
        <w:rPr>
          <w:bCs/>
          <w:color w:val="000000" w:themeColor="text1"/>
          <w:lang w:val="es-ES"/>
        </w:rPr>
        <w:t xml:space="preserve">tampoco </w:t>
      </w:r>
      <w:r w:rsidR="004277D4" w:rsidRPr="00F955EE">
        <w:rPr>
          <w:bCs/>
          <w:lang w:val="es-ES"/>
        </w:rPr>
        <w:t xml:space="preserve">existe controversia con respecto al hecho de que, como resultado de los disparos efectuados por agentes estatales, </w:t>
      </w:r>
      <w:r w:rsidR="000726E9" w:rsidRPr="00F955EE">
        <w:rPr>
          <w:bCs/>
          <w:lang w:val="es-ES"/>
        </w:rPr>
        <w:t xml:space="preserve">al menos </w:t>
      </w:r>
      <w:r w:rsidR="00D43DF0" w:rsidRPr="00F955EE">
        <w:rPr>
          <w:lang w:val="es-ES"/>
        </w:rPr>
        <w:t>seis</w:t>
      </w:r>
      <w:r w:rsidR="004277D4" w:rsidRPr="00F955EE">
        <w:rPr>
          <w:lang w:val="es-ES"/>
        </w:rPr>
        <w:t xml:space="preserve"> personas resultaron heridas </w:t>
      </w:r>
      <w:r w:rsidR="000726E9" w:rsidRPr="00F955EE">
        <w:rPr>
          <w:lang w:val="es-ES"/>
        </w:rPr>
        <w:t>y una de ellas falleció</w:t>
      </w:r>
      <w:r w:rsidR="004277D4" w:rsidRPr="00F955EE">
        <w:rPr>
          <w:rStyle w:val="Refdenotaalpie"/>
          <w:rFonts w:eastAsia="MS Mincho"/>
          <w:lang w:val="es-ES"/>
        </w:rPr>
        <w:footnoteReference w:id="59"/>
      </w:r>
      <w:r w:rsidR="004277D4" w:rsidRPr="00F955EE">
        <w:rPr>
          <w:lang w:val="es-ES"/>
        </w:rPr>
        <w:t xml:space="preserve">. En particular, </w:t>
      </w:r>
      <w:r w:rsidR="000726E9" w:rsidRPr="00F955EE">
        <w:rPr>
          <w:lang w:val="es-ES"/>
        </w:rPr>
        <w:t xml:space="preserve">y en lo que respecta a las víctimas del presente caso, </w:t>
      </w:r>
      <w:r w:rsidR="004277D4" w:rsidRPr="00F955EE">
        <w:rPr>
          <w:lang w:val="es-ES"/>
        </w:rPr>
        <w:t>Pedro Bacilio</w:t>
      </w:r>
      <w:r w:rsidR="000726E9" w:rsidRPr="00F955EE">
        <w:rPr>
          <w:lang w:val="es-ES"/>
        </w:rPr>
        <w:t xml:space="preserve"> Roche Azaña</w:t>
      </w:r>
      <w:r w:rsidR="004277D4" w:rsidRPr="00F955EE">
        <w:rPr>
          <w:lang w:val="es-ES"/>
        </w:rPr>
        <w:t xml:space="preserve"> recibió un impacto de bala en la cabeza</w:t>
      </w:r>
      <w:r w:rsidR="00D16045" w:rsidRPr="00F955EE">
        <w:rPr>
          <w:lang w:val="es-ES"/>
        </w:rPr>
        <w:t xml:space="preserve"> que le ocasionó la muerte</w:t>
      </w:r>
      <w:r w:rsidR="003D21E5" w:rsidRPr="00F955EE">
        <w:rPr>
          <w:rStyle w:val="Refdenotaalpie"/>
          <w:rFonts w:eastAsia="MS Mincho"/>
          <w:lang w:val="es-ES"/>
        </w:rPr>
        <w:footnoteReference w:id="60"/>
      </w:r>
      <w:r w:rsidR="004277D4" w:rsidRPr="00F955EE">
        <w:rPr>
          <w:lang w:val="es-ES"/>
        </w:rPr>
        <w:t xml:space="preserve">, mientras que Patricio Fernando recibió dos impactos de bala, uno </w:t>
      </w:r>
      <w:r w:rsidR="000726E9" w:rsidRPr="00F955EE">
        <w:rPr>
          <w:lang w:val="es-ES"/>
        </w:rPr>
        <w:t xml:space="preserve">en la </w:t>
      </w:r>
      <w:r w:rsidR="004277D4" w:rsidRPr="00F955EE">
        <w:rPr>
          <w:lang w:val="es-ES"/>
        </w:rPr>
        <w:t xml:space="preserve">cadera derecha y </w:t>
      </w:r>
      <w:r w:rsidR="000726E9" w:rsidRPr="00F955EE">
        <w:rPr>
          <w:lang w:val="es-ES"/>
        </w:rPr>
        <w:t xml:space="preserve">otro </w:t>
      </w:r>
      <w:r w:rsidR="004277D4" w:rsidRPr="00F955EE">
        <w:rPr>
          <w:lang w:val="es-ES"/>
        </w:rPr>
        <w:t>que impactó en su muslo derecho</w:t>
      </w:r>
      <w:r w:rsidR="004277D4" w:rsidRPr="00F955EE">
        <w:rPr>
          <w:rStyle w:val="Refdenotaalpie"/>
          <w:rFonts w:eastAsia="MS Mincho"/>
          <w:lang w:val="es-ES"/>
        </w:rPr>
        <w:footnoteReference w:id="61"/>
      </w:r>
      <w:r w:rsidR="00D16045" w:rsidRPr="00F955EE">
        <w:rPr>
          <w:lang w:val="es-ES"/>
        </w:rPr>
        <w:t xml:space="preserve">, a </w:t>
      </w:r>
      <w:r w:rsidR="007B5A16" w:rsidRPr="00F955EE">
        <w:rPr>
          <w:lang w:val="es-ES"/>
        </w:rPr>
        <w:t>raíz</w:t>
      </w:r>
      <w:r w:rsidR="00D16045" w:rsidRPr="00F955EE">
        <w:rPr>
          <w:lang w:val="es-ES"/>
        </w:rPr>
        <w:t xml:space="preserve"> de los cuales </w:t>
      </w:r>
      <w:r w:rsidR="004277D4" w:rsidRPr="00F955EE">
        <w:rPr>
          <w:lang w:val="es-ES"/>
        </w:rPr>
        <w:t>sufre importantes secuelas a</w:t>
      </w:r>
      <w:r w:rsidR="004C05ED">
        <w:rPr>
          <w:lang w:val="es-ES"/>
        </w:rPr>
        <w:t>l</w:t>
      </w:r>
      <w:r w:rsidR="004277D4" w:rsidRPr="00F955EE">
        <w:rPr>
          <w:lang w:val="es-ES"/>
        </w:rPr>
        <w:t xml:space="preserve"> día de hoy</w:t>
      </w:r>
      <w:r w:rsidR="00E864F2" w:rsidRPr="00F955EE">
        <w:rPr>
          <w:rStyle w:val="Refdenotaalpie"/>
          <w:lang w:val="es-ES"/>
        </w:rPr>
        <w:footnoteReference w:id="62"/>
      </w:r>
      <w:r w:rsidR="004277D4" w:rsidRPr="00F955EE">
        <w:rPr>
          <w:lang w:val="es-ES"/>
        </w:rPr>
        <w:t xml:space="preserve">. </w:t>
      </w:r>
    </w:p>
    <w:p w14:paraId="668D686B" w14:textId="77777777" w:rsidR="000726E9" w:rsidRPr="00F955EE" w:rsidRDefault="000726E9" w:rsidP="000726E9">
      <w:pPr>
        <w:tabs>
          <w:tab w:val="left" w:pos="567"/>
        </w:tabs>
        <w:rPr>
          <w:rFonts w:eastAsia="Batang"/>
          <w:lang w:val="es-ES"/>
        </w:rPr>
      </w:pPr>
    </w:p>
    <w:p w14:paraId="4C5B7C90" w14:textId="5FBFB9B0" w:rsidR="00D370C9" w:rsidRPr="00F955EE" w:rsidRDefault="004277D4" w:rsidP="004F0770">
      <w:pPr>
        <w:numPr>
          <w:ilvl w:val="0"/>
          <w:numId w:val="4"/>
        </w:numPr>
        <w:tabs>
          <w:tab w:val="left" w:pos="567"/>
          <w:tab w:val="num" w:pos="1569"/>
          <w:tab w:val="num" w:pos="12305"/>
        </w:tabs>
        <w:ind w:left="0" w:firstLine="0"/>
        <w:rPr>
          <w:lang w:val="es-ES"/>
        </w:rPr>
      </w:pPr>
      <w:r w:rsidRPr="00F955EE">
        <w:rPr>
          <w:rFonts w:eastAsia="Batang"/>
          <w:lang w:val="es-ES"/>
        </w:rPr>
        <w:t xml:space="preserve">La cuestión estriba, por tanto, en valorar si </w:t>
      </w:r>
      <w:r w:rsidR="00D16045" w:rsidRPr="00F955EE">
        <w:rPr>
          <w:rFonts w:eastAsia="Batang"/>
          <w:lang w:val="es-ES"/>
        </w:rPr>
        <w:t>el uso</w:t>
      </w:r>
      <w:r w:rsidRPr="00F955EE">
        <w:rPr>
          <w:rFonts w:eastAsia="Batang"/>
          <w:lang w:val="es-ES"/>
        </w:rPr>
        <w:t xml:space="preserve"> de la fuerza</w:t>
      </w:r>
      <w:r w:rsidR="00487B95" w:rsidRPr="00F955EE">
        <w:rPr>
          <w:rFonts w:eastAsia="Batang"/>
          <w:lang w:val="es-ES"/>
        </w:rPr>
        <w:t xml:space="preserve"> a</w:t>
      </w:r>
      <w:r w:rsidRPr="00F955EE">
        <w:rPr>
          <w:rFonts w:eastAsia="Batang"/>
          <w:lang w:val="es-ES"/>
        </w:rPr>
        <w:t xml:space="preserve"> la hora de intentar </w:t>
      </w:r>
      <w:r w:rsidR="00D16045" w:rsidRPr="00F955EE">
        <w:rPr>
          <w:rFonts w:eastAsia="Batang"/>
          <w:lang w:val="es-ES"/>
        </w:rPr>
        <w:t>interceptar</w:t>
      </w:r>
      <w:r w:rsidRPr="00F955EE">
        <w:rPr>
          <w:rFonts w:eastAsia="Batang"/>
          <w:lang w:val="es-ES"/>
        </w:rPr>
        <w:t xml:space="preserve"> la furgoneta</w:t>
      </w:r>
      <w:r w:rsidR="00D16045" w:rsidRPr="00F955EE">
        <w:rPr>
          <w:rFonts w:eastAsia="Batang"/>
          <w:lang w:val="es-ES"/>
        </w:rPr>
        <w:t xml:space="preserve"> se realizó conforme a los estándares interamericanos en la materia. </w:t>
      </w:r>
      <w:r w:rsidR="00D43DF0" w:rsidRPr="00F955EE">
        <w:rPr>
          <w:lang w:val="es-ES"/>
        </w:rPr>
        <w:t>En este sentido, l</w:t>
      </w:r>
      <w:r w:rsidR="000D38AF" w:rsidRPr="00F955EE">
        <w:rPr>
          <w:lang w:val="es-ES"/>
        </w:rPr>
        <w:t>a Corte recuerda que</w:t>
      </w:r>
      <w:r w:rsidR="00D16045" w:rsidRPr="00F955EE">
        <w:rPr>
          <w:lang w:val="es-ES"/>
        </w:rPr>
        <w:t xml:space="preserve"> e</w:t>
      </w:r>
      <w:r w:rsidR="000D38AF" w:rsidRPr="00F955EE">
        <w:rPr>
          <w:rFonts w:cs="Verdana"/>
          <w:lang w:val="es-ES"/>
        </w:rPr>
        <w:t xml:space="preserve">l uso de la fuerza por parte de los cuerpos de seguridad estatales debe estar definido por la excepcionalidad, y </w:t>
      </w:r>
      <w:r w:rsidR="000D38AF" w:rsidRPr="00F955EE">
        <w:rPr>
          <w:rFonts w:cs="Times"/>
          <w:lang w:val="es-ES"/>
        </w:rPr>
        <w:t>debe</w:t>
      </w:r>
      <w:r w:rsidR="000D38AF" w:rsidRPr="00F955EE">
        <w:rPr>
          <w:rFonts w:cs="Verdana"/>
          <w:lang w:val="es-ES"/>
        </w:rPr>
        <w:t xml:space="preserve"> ser planeado y limitado proporcionalmente por las </w:t>
      </w:r>
      <w:r w:rsidR="000D38AF" w:rsidRPr="00F955EE">
        <w:rPr>
          <w:lang w:val="es-ES"/>
        </w:rPr>
        <w:t>autoridades</w:t>
      </w:r>
      <w:r w:rsidR="000D38AF" w:rsidRPr="00F955EE">
        <w:rPr>
          <w:rFonts w:cs="Verdana"/>
          <w:lang w:val="es-ES"/>
        </w:rPr>
        <w:t xml:space="preserve">. </w:t>
      </w:r>
      <w:r w:rsidR="00D43DF0" w:rsidRPr="00F955EE">
        <w:rPr>
          <w:rFonts w:cs="Verdana"/>
          <w:lang w:val="es-ES"/>
        </w:rPr>
        <w:t>E</w:t>
      </w:r>
      <w:r w:rsidR="000D38AF" w:rsidRPr="00F955EE">
        <w:rPr>
          <w:rFonts w:cs="Verdana"/>
          <w:lang w:val="es-ES"/>
        </w:rPr>
        <w:t xml:space="preserve">l Tribunal ha estimado que sólo podrá hacerse uso de la fuerza o de instrumentos de coerción cuando se hayan agotado y hayan fracasado todos los demás </w:t>
      </w:r>
      <w:r w:rsidR="000D38AF" w:rsidRPr="00F955EE">
        <w:rPr>
          <w:rFonts w:cs="Verdana"/>
          <w:lang w:val="es-ES"/>
        </w:rPr>
        <w:lastRenderedPageBreak/>
        <w:t>medios de control</w:t>
      </w:r>
      <w:r w:rsidR="000D38AF" w:rsidRPr="00F955EE">
        <w:rPr>
          <w:rStyle w:val="Refdenotaalpie"/>
          <w:rFonts w:eastAsia="MS Mincho" w:cs="Verdana"/>
          <w:lang w:val="es-ES"/>
        </w:rPr>
        <w:footnoteReference w:id="63"/>
      </w:r>
      <w:r w:rsidR="000D38AF" w:rsidRPr="00F955EE">
        <w:rPr>
          <w:rFonts w:cs="Verdana"/>
          <w:lang w:val="es-ES"/>
        </w:rPr>
        <w:t xml:space="preserve">. </w:t>
      </w:r>
      <w:r w:rsidR="001749B2" w:rsidRPr="00F955EE">
        <w:rPr>
          <w:lang w:val="es-ES"/>
        </w:rPr>
        <w:t>En los casos en los</w:t>
      </w:r>
      <w:r w:rsidR="00392178" w:rsidRPr="00F955EE">
        <w:rPr>
          <w:lang w:val="es-ES"/>
        </w:rPr>
        <w:t xml:space="preserve"> que</w:t>
      </w:r>
      <w:r w:rsidR="000136C2" w:rsidRPr="00F955EE">
        <w:rPr>
          <w:lang w:val="es-ES"/>
        </w:rPr>
        <w:t xml:space="preserve"> resulte imperioso el uso de la fuerza, ésta debe realizarse en armonía con los principios de legalidad, </w:t>
      </w:r>
      <w:r w:rsidR="00D43DF0" w:rsidRPr="00F955EE">
        <w:rPr>
          <w:lang w:val="es-ES"/>
        </w:rPr>
        <w:t xml:space="preserve">finalidad legítima, </w:t>
      </w:r>
      <w:r w:rsidR="000136C2" w:rsidRPr="00F955EE">
        <w:rPr>
          <w:lang w:val="es-ES"/>
        </w:rPr>
        <w:t>absoluta necesidad y proporcionalidad:</w:t>
      </w:r>
    </w:p>
    <w:p w14:paraId="57A33139" w14:textId="0968628A" w:rsidR="00D43DF0" w:rsidRPr="00F955EE" w:rsidRDefault="00E6559F" w:rsidP="004F0770">
      <w:pPr>
        <w:pStyle w:val="Estilo8"/>
        <w:numPr>
          <w:ilvl w:val="2"/>
          <w:numId w:val="9"/>
        </w:numPr>
        <w:tabs>
          <w:tab w:val="clear" w:pos="567"/>
          <w:tab w:val="clear" w:pos="851"/>
          <w:tab w:val="clear" w:pos="890"/>
          <w:tab w:val="num" w:pos="426"/>
        </w:tabs>
        <w:ind w:left="567" w:right="582" w:firstLine="0"/>
        <w:rPr>
          <w:lang w:val="es-ES"/>
        </w:rPr>
      </w:pPr>
      <w:r w:rsidRPr="00F955EE">
        <w:rPr>
          <w:lang w:val="es-ES"/>
        </w:rPr>
        <w:t xml:space="preserve"> </w:t>
      </w:r>
      <w:r w:rsidR="00D43DF0" w:rsidRPr="00F955EE">
        <w:rPr>
          <w:i/>
          <w:iCs/>
          <w:lang w:val="es-ES"/>
        </w:rPr>
        <w:t xml:space="preserve">Legalidad: </w:t>
      </w:r>
      <w:r w:rsidR="00D43DF0" w:rsidRPr="00F955EE">
        <w:rPr>
          <w:lang w:val="es-ES"/>
        </w:rPr>
        <w:t>El uso excepcional de la fuerza debe estar formulado por ley y debe existir un marco regulatorio para su utilización</w:t>
      </w:r>
      <w:r w:rsidR="00D43DF0" w:rsidRPr="00F955EE">
        <w:rPr>
          <w:rStyle w:val="Refdenotaalpie"/>
          <w:lang w:val="es-ES"/>
        </w:rPr>
        <w:footnoteReference w:id="64"/>
      </w:r>
      <w:r w:rsidR="00D43DF0" w:rsidRPr="00F955EE">
        <w:rPr>
          <w:lang w:val="es-ES"/>
        </w:rPr>
        <w:t>.</w:t>
      </w:r>
    </w:p>
    <w:p w14:paraId="15215F2F" w14:textId="600F73FD" w:rsidR="000136C2" w:rsidRPr="00F955EE" w:rsidRDefault="0069720D" w:rsidP="004F0770">
      <w:pPr>
        <w:pStyle w:val="Estilo8"/>
        <w:numPr>
          <w:ilvl w:val="2"/>
          <w:numId w:val="9"/>
        </w:numPr>
        <w:tabs>
          <w:tab w:val="clear" w:pos="567"/>
          <w:tab w:val="clear" w:pos="851"/>
          <w:tab w:val="clear" w:pos="890"/>
          <w:tab w:val="num" w:pos="426"/>
        </w:tabs>
        <w:ind w:left="567" w:right="582" w:firstLine="0"/>
        <w:rPr>
          <w:lang w:val="es-ES"/>
        </w:rPr>
      </w:pPr>
      <w:r w:rsidRPr="00F955EE">
        <w:rPr>
          <w:i/>
          <w:lang w:val="es-ES"/>
        </w:rPr>
        <w:t xml:space="preserve"> </w:t>
      </w:r>
      <w:r w:rsidR="00027197" w:rsidRPr="00F955EE">
        <w:rPr>
          <w:i/>
          <w:lang w:val="es-ES"/>
        </w:rPr>
        <w:t>Finalidad legítima</w:t>
      </w:r>
      <w:r w:rsidR="000136C2" w:rsidRPr="00F955EE">
        <w:rPr>
          <w:lang w:val="es-ES"/>
        </w:rPr>
        <w:t xml:space="preserve">: </w:t>
      </w:r>
      <w:r w:rsidR="00027197" w:rsidRPr="00F955EE">
        <w:rPr>
          <w:spacing w:val="-2"/>
          <w:lang w:val="es-ES"/>
        </w:rPr>
        <w:t>el uso de la fuerza debe estar dirigido a lograr un objetivo legítimo</w:t>
      </w:r>
      <w:r w:rsidR="00D16045" w:rsidRPr="00F955EE">
        <w:rPr>
          <w:rStyle w:val="Refdenotaalpie"/>
          <w:spacing w:val="-2"/>
          <w:lang w:val="es-ES"/>
        </w:rPr>
        <w:footnoteReference w:id="65"/>
      </w:r>
      <w:r w:rsidR="000D38AF" w:rsidRPr="00F955EE">
        <w:rPr>
          <w:spacing w:val="-2"/>
          <w:lang w:val="es-ES"/>
        </w:rPr>
        <w:t>.</w:t>
      </w:r>
    </w:p>
    <w:p w14:paraId="46A51F0E" w14:textId="1310C032" w:rsidR="000D38AF" w:rsidRPr="00F955EE" w:rsidRDefault="00E6559F" w:rsidP="004F0770">
      <w:pPr>
        <w:pStyle w:val="Estilo8"/>
        <w:numPr>
          <w:ilvl w:val="2"/>
          <w:numId w:val="9"/>
        </w:numPr>
        <w:tabs>
          <w:tab w:val="clear" w:pos="567"/>
          <w:tab w:val="clear" w:pos="851"/>
          <w:tab w:val="clear" w:pos="890"/>
          <w:tab w:val="num" w:pos="426"/>
        </w:tabs>
        <w:ind w:left="567" w:right="582" w:firstLine="0"/>
        <w:rPr>
          <w:spacing w:val="-2"/>
          <w:lang w:val="es-ES"/>
        </w:rPr>
      </w:pPr>
      <w:r w:rsidRPr="00F955EE">
        <w:rPr>
          <w:b/>
          <w:i/>
          <w:lang w:val="es-ES"/>
        </w:rPr>
        <w:t xml:space="preserve"> </w:t>
      </w:r>
      <w:r w:rsidR="000136C2" w:rsidRPr="00F955EE">
        <w:rPr>
          <w:bCs/>
          <w:i/>
          <w:iCs/>
          <w:lang w:val="es-ES"/>
        </w:rPr>
        <w:t>Absoluta necesidad:</w:t>
      </w:r>
      <w:r w:rsidR="000136C2" w:rsidRPr="00F955EE">
        <w:rPr>
          <w:b/>
          <w:i/>
          <w:lang w:val="es-ES"/>
        </w:rPr>
        <w:t xml:space="preserve"> </w:t>
      </w:r>
      <w:r w:rsidR="00027197" w:rsidRPr="00F955EE">
        <w:rPr>
          <w:spacing w:val="-2"/>
          <w:lang w:val="es-ES"/>
        </w:rPr>
        <w:t xml:space="preserve">es preciso verificar si existen otros medios disponibles menos lesivos para tutelar la vida e integridad de la persona o </w:t>
      </w:r>
      <w:r w:rsidR="00027197" w:rsidRPr="00F955EE">
        <w:rPr>
          <w:lang w:val="es-ES"/>
        </w:rPr>
        <w:t>situación</w:t>
      </w:r>
      <w:r w:rsidR="00027197" w:rsidRPr="00F955EE">
        <w:rPr>
          <w:spacing w:val="-2"/>
          <w:lang w:val="es-ES"/>
        </w:rPr>
        <w:t xml:space="preserve"> que se pretende proteger, de conformidad con las circunstancias del caso</w:t>
      </w:r>
      <w:r w:rsidR="00027197" w:rsidRPr="00F955EE">
        <w:rPr>
          <w:spacing w:val="-2"/>
          <w:vertAlign w:val="superscript"/>
          <w:lang w:val="es-ES"/>
        </w:rPr>
        <w:footnoteReference w:id="66"/>
      </w:r>
      <w:r w:rsidR="00027197" w:rsidRPr="00F955EE">
        <w:rPr>
          <w:spacing w:val="-2"/>
          <w:lang w:val="es-ES"/>
        </w:rPr>
        <w:t xml:space="preserve">. </w:t>
      </w:r>
      <w:r w:rsidR="00DE6243" w:rsidRPr="00F955EE">
        <w:rPr>
          <w:bCs/>
          <w:iCs/>
          <w:lang w:val="es-ES"/>
        </w:rPr>
        <w:t xml:space="preserve">En un mayor grado de excepcionalidad se ubica el uso de la fuerza letal y las armas de fuego por parte de agentes de seguridad estatales contra las personas, el cual debe estar prohibido como regla general. </w:t>
      </w:r>
      <w:r w:rsidR="00DE6243" w:rsidRPr="00F955EE">
        <w:rPr>
          <w:lang w:val="es-ES"/>
        </w:rPr>
        <w:t>Su</w:t>
      </w:r>
      <w:r w:rsidR="00DE6243" w:rsidRPr="00F955EE">
        <w:rPr>
          <w:bCs/>
          <w:iCs/>
          <w:lang w:val="es-ES"/>
        </w:rPr>
        <w:t xml:space="preserve"> uso excepcional</w:t>
      </w:r>
      <w:r w:rsidR="003D21E5">
        <w:rPr>
          <w:bCs/>
          <w:iCs/>
          <w:lang w:val="es-ES"/>
        </w:rPr>
        <w:t xml:space="preserve"> deberá</w:t>
      </w:r>
      <w:r w:rsidR="00DE6243" w:rsidRPr="00F955EE">
        <w:rPr>
          <w:bCs/>
          <w:iCs/>
          <w:lang w:val="es-ES"/>
        </w:rPr>
        <w:t xml:space="preserve"> ser interpretado restrictivamente de manera que sea minimizado en toda circunstancia, no siendo más que el “absolutamente necesario” en relación con la fuerza o amenaza que se pretende repeler</w:t>
      </w:r>
      <w:r w:rsidR="00DE6243" w:rsidRPr="00F955EE">
        <w:rPr>
          <w:vertAlign w:val="superscript"/>
          <w:lang w:val="es-ES"/>
        </w:rPr>
        <w:footnoteReference w:id="67"/>
      </w:r>
      <w:r w:rsidR="00DE6243" w:rsidRPr="00F955EE">
        <w:rPr>
          <w:bCs/>
          <w:iCs/>
          <w:lang w:val="es-ES"/>
        </w:rPr>
        <w:t>.</w:t>
      </w:r>
    </w:p>
    <w:p w14:paraId="080633D3" w14:textId="42EC0805" w:rsidR="00F14108" w:rsidRPr="00F955EE" w:rsidRDefault="00E6559F" w:rsidP="004F0770">
      <w:pPr>
        <w:pStyle w:val="Estilo8"/>
        <w:numPr>
          <w:ilvl w:val="2"/>
          <w:numId w:val="9"/>
        </w:numPr>
        <w:tabs>
          <w:tab w:val="clear" w:pos="851"/>
          <w:tab w:val="clear" w:pos="890"/>
          <w:tab w:val="num" w:pos="567"/>
        </w:tabs>
        <w:ind w:left="567" w:right="582" w:firstLine="0"/>
        <w:rPr>
          <w:spacing w:val="-2"/>
          <w:lang w:val="es-ES"/>
        </w:rPr>
      </w:pPr>
      <w:r w:rsidRPr="00F955EE">
        <w:rPr>
          <w:b/>
          <w:i/>
          <w:lang w:val="es-ES"/>
        </w:rPr>
        <w:t xml:space="preserve"> </w:t>
      </w:r>
      <w:r w:rsidR="000136C2" w:rsidRPr="00F955EE">
        <w:rPr>
          <w:bCs/>
          <w:i/>
          <w:lang w:val="es-ES"/>
        </w:rPr>
        <w:t>Proporcionalidad:</w:t>
      </w:r>
      <w:r w:rsidR="000136C2" w:rsidRPr="00F955EE">
        <w:rPr>
          <w:b/>
          <w:i/>
          <w:lang w:val="es-ES"/>
        </w:rPr>
        <w:t xml:space="preserve"> </w:t>
      </w:r>
      <w:r w:rsidR="00027197" w:rsidRPr="00F955EE">
        <w:rPr>
          <w:spacing w:val="-2"/>
          <w:lang w:val="es-ES"/>
        </w:rPr>
        <w:t>el nivel de fuerza utilizado debe ser acorde con el nivel de resistencia ofrecido</w:t>
      </w:r>
      <w:r w:rsidR="00027197" w:rsidRPr="00F955EE">
        <w:rPr>
          <w:spacing w:val="-2"/>
          <w:vertAlign w:val="superscript"/>
          <w:lang w:val="es-ES"/>
        </w:rPr>
        <w:footnoteReference w:id="68"/>
      </w:r>
      <w:r w:rsidR="00027197" w:rsidRPr="00F955EE">
        <w:rPr>
          <w:spacing w:val="-2"/>
          <w:lang w:val="es-ES"/>
        </w:rPr>
        <w:t>, lo cual implica un equilibrio entre la situación a la que se enfrenta el funcionario y su respuesta, considerando el daño potencial que podría ser ocasionado.</w:t>
      </w:r>
      <w:r w:rsidR="000136C2" w:rsidRPr="00F955EE">
        <w:rPr>
          <w:b/>
          <w:i/>
          <w:lang w:val="es-ES"/>
        </w:rPr>
        <w:t xml:space="preserve"> </w:t>
      </w:r>
      <w:r w:rsidR="00027197" w:rsidRPr="00F955EE">
        <w:rPr>
          <w:spacing w:val="-2"/>
          <w:lang w:val="es-ES"/>
        </w:rPr>
        <w:t xml:space="preserve">Así, los agentes deben aplicar un criterio de </w:t>
      </w:r>
      <w:r w:rsidR="00027197" w:rsidRPr="00F955EE">
        <w:rPr>
          <w:bCs/>
          <w:iCs/>
          <w:lang w:val="es-ES"/>
        </w:rPr>
        <w:t>uso</w:t>
      </w:r>
      <w:r w:rsidR="00027197" w:rsidRPr="00F955EE">
        <w:rPr>
          <w:spacing w:val="-2"/>
          <w:lang w:val="es-ES"/>
        </w:rPr>
        <w:t xml:space="preserve"> diferenciado de la fuerza, determinando el grado de cooperación, resistencia o agresión de parte del sujeto al cual se pretende intervenir y, con ello, emplear tácticas de negociación, control o uso de fuerza, según corresponda</w:t>
      </w:r>
      <w:r w:rsidR="00027197" w:rsidRPr="00F955EE">
        <w:rPr>
          <w:spacing w:val="-2"/>
          <w:vertAlign w:val="superscript"/>
          <w:lang w:val="es-ES"/>
        </w:rPr>
        <w:footnoteReference w:id="69"/>
      </w:r>
      <w:r w:rsidR="00027197" w:rsidRPr="00F955EE">
        <w:rPr>
          <w:spacing w:val="-2"/>
          <w:lang w:val="es-ES"/>
        </w:rPr>
        <w:t xml:space="preserve">. Para determinar la proporcionalidad del uso de la fuerza, debe evaluarse la gravedad de la situación que enfrenta el funcionario. Para ello, se debe considerar, entre otras circunstancias: la intensidad y peligrosidad de la amenaza; la forma de proceder del individuo; las condiciones del entorno, y los medios de los que disponga el funcionario para abordar una </w:t>
      </w:r>
      <w:r w:rsidR="00027197" w:rsidRPr="00F955EE">
        <w:rPr>
          <w:lang w:val="es-ES"/>
        </w:rPr>
        <w:t>situación</w:t>
      </w:r>
      <w:r w:rsidR="00027197" w:rsidRPr="00F955EE">
        <w:rPr>
          <w:spacing w:val="-2"/>
          <w:lang w:val="es-ES"/>
        </w:rPr>
        <w:t xml:space="preserve"> específica</w:t>
      </w:r>
      <w:r w:rsidR="00F83FB5" w:rsidRPr="00F955EE">
        <w:rPr>
          <w:rStyle w:val="Refdenotaalpie"/>
          <w:spacing w:val="-2"/>
          <w:lang w:val="es-ES"/>
        </w:rPr>
        <w:footnoteReference w:id="70"/>
      </w:r>
      <w:r w:rsidR="00027197" w:rsidRPr="00F955EE">
        <w:rPr>
          <w:spacing w:val="-2"/>
          <w:lang w:val="es-ES"/>
        </w:rPr>
        <w:t xml:space="preserve">. </w:t>
      </w:r>
    </w:p>
    <w:p w14:paraId="76CD9D7E" w14:textId="4089D572" w:rsidR="00BE00AA" w:rsidRPr="00F955EE" w:rsidRDefault="0069720D" w:rsidP="004F0770">
      <w:pPr>
        <w:numPr>
          <w:ilvl w:val="0"/>
          <w:numId w:val="4"/>
        </w:numPr>
        <w:tabs>
          <w:tab w:val="left" w:pos="567"/>
          <w:tab w:val="num" w:pos="1569"/>
          <w:tab w:val="num" w:pos="12305"/>
        </w:tabs>
        <w:ind w:left="0" w:firstLine="0"/>
        <w:rPr>
          <w:color w:val="000000" w:themeColor="text1"/>
          <w:sz w:val="16"/>
          <w:szCs w:val="16"/>
        </w:rPr>
      </w:pPr>
      <w:r w:rsidRPr="00F955EE">
        <w:rPr>
          <w:spacing w:val="-2"/>
          <w:lang w:val="es-ES"/>
        </w:rPr>
        <w:t>En cuanto al primer requisito -</w:t>
      </w:r>
      <w:r w:rsidRPr="00F955EE">
        <w:rPr>
          <w:i/>
          <w:iCs/>
          <w:spacing w:val="-2"/>
          <w:lang w:val="es-ES"/>
        </w:rPr>
        <w:t>legalidad</w:t>
      </w:r>
      <w:r w:rsidRPr="00F955EE">
        <w:rPr>
          <w:spacing w:val="-2"/>
          <w:lang w:val="es-ES"/>
        </w:rPr>
        <w:t xml:space="preserve">-, </w:t>
      </w:r>
      <w:r w:rsidR="00BE00AA" w:rsidRPr="00F955EE">
        <w:rPr>
          <w:lang w:val="es-ES"/>
        </w:rPr>
        <w:t>el Estado alegó que el marco jurídico de</w:t>
      </w:r>
      <w:r w:rsidR="00BE00AA" w:rsidRPr="00F955EE">
        <w:rPr>
          <w:rFonts w:eastAsia="Verdana" w:cs="Verdana"/>
          <w:lang w:val="es-ES"/>
        </w:rPr>
        <w:t xml:space="preserve"> la actuación </w:t>
      </w:r>
      <w:r w:rsidR="00AE6505">
        <w:rPr>
          <w:rFonts w:eastAsia="Verdana" w:cs="Verdana"/>
          <w:lang w:val="es-ES"/>
        </w:rPr>
        <w:t>estatal</w:t>
      </w:r>
      <w:r w:rsidR="00BE00AA" w:rsidRPr="00F955EE">
        <w:rPr>
          <w:rFonts w:eastAsia="Verdana" w:cs="Verdana"/>
          <w:lang w:val="es-ES"/>
        </w:rPr>
        <w:t xml:space="preserve"> estaba regulado, en primer lugar, por los artículos 97 y 144 de la Constitución Política</w:t>
      </w:r>
      <w:r w:rsidR="009F332C" w:rsidRPr="00F955EE">
        <w:rPr>
          <w:rStyle w:val="Refdenotaalpie"/>
          <w:rFonts w:eastAsia="Verdana" w:cs="Verdana"/>
          <w:lang w:val="es-ES"/>
        </w:rPr>
        <w:footnoteReference w:id="71"/>
      </w:r>
      <w:r w:rsidR="00BE00AA" w:rsidRPr="00F955EE">
        <w:rPr>
          <w:rFonts w:eastAsia="Verdana" w:cs="Verdana"/>
          <w:lang w:val="es-ES"/>
        </w:rPr>
        <w:t>.</w:t>
      </w:r>
      <w:r w:rsidR="00BE00AA" w:rsidRPr="00F955EE">
        <w:rPr>
          <w:lang w:val="es-ES"/>
        </w:rPr>
        <w:t xml:space="preserve"> </w:t>
      </w:r>
      <w:r w:rsidR="00BE00AA" w:rsidRPr="00F955EE">
        <w:rPr>
          <w:lang w:val="es-ES"/>
        </w:rPr>
        <w:lastRenderedPageBreak/>
        <w:t xml:space="preserve">Asimismo, el Estado subrayó que dicho marco jurídico también estaba regulado por la </w:t>
      </w:r>
      <w:r w:rsidR="00BE00AA" w:rsidRPr="00F955EE">
        <w:rPr>
          <w:rFonts w:eastAsia="Verdana" w:cs="Verdana"/>
          <w:lang w:val="es-ES"/>
        </w:rPr>
        <w:t xml:space="preserve">Ley No. 144, “Ley de Funciones de la Policía Nacional en </w:t>
      </w:r>
      <w:r w:rsidR="00BE00AA" w:rsidRPr="00F955EE">
        <w:rPr>
          <w:color w:val="151515"/>
          <w:lang w:val="es-ES"/>
        </w:rPr>
        <w:t>materia</w:t>
      </w:r>
      <w:r w:rsidR="00BE00AA" w:rsidRPr="00F955EE">
        <w:rPr>
          <w:rFonts w:eastAsia="Verdana" w:cs="Verdana"/>
          <w:lang w:val="es-ES"/>
        </w:rPr>
        <w:t xml:space="preserve"> de Auxilio Judicial”, publicada el 25 de marzo de 1992</w:t>
      </w:r>
      <w:r w:rsidR="00BE00AA" w:rsidRPr="00F955EE">
        <w:rPr>
          <w:rStyle w:val="Refdenotaalpie"/>
          <w:rFonts w:eastAsia="Verdana" w:cs="Verdana"/>
          <w:lang w:val="es-ES"/>
        </w:rPr>
        <w:footnoteReference w:id="72"/>
      </w:r>
      <w:r w:rsidR="00E51578">
        <w:rPr>
          <w:rFonts w:eastAsia="Verdana" w:cs="Verdana"/>
          <w:lang w:val="es-ES"/>
        </w:rPr>
        <w:t>;</w:t>
      </w:r>
      <w:r w:rsidR="00BE00AA" w:rsidRPr="00F955EE">
        <w:rPr>
          <w:rFonts w:eastAsia="Verdana" w:cs="Verdana"/>
          <w:lang w:val="es-ES"/>
        </w:rPr>
        <w:t xml:space="preserve"> el Decreto No. 45-92 “Ley Orgánica de la Policía Nacional”, publicada el 7 de septiembre de 1992</w:t>
      </w:r>
      <w:r w:rsidR="00BE00AA" w:rsidRPr="00F955EE">
        <w:rPr>
          <w:rStyle w:val="Refdenotaalpie"/>
          <w:rFonts w:eastAsia="Verdana" w:cs="Verdana"/>
          <w:lang w:val="es-ES"/>
        </w:rPr>
        <w:footnoteReference w:id="73"/>
      </w:r>
      <w:r w:rsidR="00BE00AA" w:rsidRPr="00F955EE">
        <w:rPr>
          <w:rFonts w:eastAsia="Verdana" w:cs="Verdana"/>
          <w:lang w:val="es-ES"/>
        </w:rPr>
        <w:t xml:space="preserve">; </w:t>
      </w:r>
      <w:r w:rsidR="00BE00AA" w:rsidRPr="00F955EE">
        <w:rPr>
          <w:lang w:val="es-ES"/>
        </w:rPr>
        <w:t xml:space="preserve">el </w:t>
      </w:r>
      <w:r w:rsidR="00BE00AA" w:rsidRPr="00F955EE">
        <w:rPr>
          <w:rFonts w:eastAsia="Verdana" w:cs="Verdana"/>
          <w:lang w:val="es-ES"/>
        </w:rPr>
        <w:t>Código de conducta para funcionario encargados de hacer cumplir la ley, y la Resolución 169/34 de la Asamblea General de las Naciones Unidas</w:t>
      </w:r>
      <w:r w:rsidR="00BE00AA" w:rsidRPr="00F955EE">
        <w:rPr>
          <w:rStyle w:val="Refdenotaalpie"/>
          <w:rFonts w:eastAsia="Verdana" w:cs="Verdana"/>
          <w:lang w:val="es-ES"/>
        </w:rPr>
        <w:footnoteReference w:id="74"/>
      </w:r>
      <w:r w:rsidR="00BE00AA" w:rsidRPr="00F955EE">
        <w:rPr>
          <w:rFonts w:eastAsia="Verdana" w:cs="Verdana"/>
          <w:lang w:val="es-ES"/>
        </w:rPr>
        <w:t xml:space="preserve">. </w:t>
      </w:r>
    </w:p>
    <w:p w14:paraId="491FDC4A" w14:textId="77777777" w:rsidR="00BE00AA" w:rsidRPr="00F955EE" w:rsidRDefault="00BE00AA" w:rsidP="00BE00AA">
      <w:pPr>
        <w:tabs>
          <w:tab w:val="left" w:pos="567"/>
        </w:tabs>
        <w:rPr>
          <w:color w:val="000000" w:themeColor="text1"/>
          <w:sz w:val="16"/>
          <w:szCs w:val="16"/>
        </w:rPr>
      </w:pPr>
    </w:p>
    <w:p w14:paraId="6B075034" w14:textId="0A10CDB3" w:rsidR="00A74556" w:rsidRPr="00F955EE" w:rsidRDefault="00A74556" w:rsidP="004F0770">
      <w:pPr>
        <w:numPr>
          <w:ilvl w:val="0"/>
          <w:numId w:val="4"/>
        </w:numPr>
        <w:tabs>
          <w:tab w:val="left" w:pos="567"/>
          <w:tab w:val="num" w:pos="1569"/>
          <w:tab w:val="num" w:pos="12305"/>
        </w:tabs>
        <w:ind w:left="0" w:firstLine="0"/>
        <w:rPr>
          <w:color w:val="000000" w:themeColor="text1"/>
          <w:sz w:val="16"/>
          <w:szCs w:val="16"/>
        </w:rPr>
      </w:pPr>
      <w:r w:rsidRPr="00F955EE">
        <w:rPr>
          <w:lang w:val="es-ES"/>
        </w:rPr>
        <w:t xml:space="preserve">La Corte recuerda que los Estados deben crear un marco normativo adecuado que disuada cualquier amenaza del derecho a la vida. De </w:t>
      </w:r>
      <w:r w:rsidR="00D62195" w:rsidRPr="00F955EE">
        <w:rPr>
          <w:lang w:val="es-ES"/>
        </w:rPr>
        <w:t>all</w:t>
      </w:r>
      <w:r w:rsidR="00A5782A">
        <w:rPr>
          <w:lang w:val="es-ES"/>
        </w:rPr>
        <w:t>í</w:t>
      </w:r>
      <w:r w:rsidRPr="00F955EE">
        <w:rPr>
          <w:lang w:val="es-ES"/>
        </w:rPr>
        <w:t xml:space="preserve"> que la legislación interna debe establecer pautas lo suficientemente claras para la utilización de fuerza letal y armas de fuego por parte de los agentes estatales</w:t>
      </w:r>
      <w:r w:rsidRPr="00F955EE">
        <w:rPr>
          <w:rStyle w:val="Refdenotaalpie"/>
          <w:lang w:val="es-ES"/>
        </w:rPr>
        <w:footnoteReference w:id="75"/>
      </w:r>
      <w:r w:rsidRPr="00F955EE">
        <w:rPr>
          <w:lang w:val="es-ES"/>
        </w:rPr>
        <w:t xml:space="preserve">. </w:t>
      </w:r>
      <w:r w:rsidR="00BE00AA" w:rsidRPr="00F955EE">
        <w:rPr>
          <w:rFonts w:eastAsia="Verdana" w:cs="Verdana"/>
          <w:lang w:val="es-ES"/>
        </w:rPr>
        <w:t xml:space="preserve">La Corte </w:t>
      </w:r>
      <w:r w:rsidR="008D1DB7" w:rsidRPr="00F955EE">
        <w:rPr>
          <w:rFonts w:eastAsia="Verdana" w:cs="Verdana"/>
          <w:lang w:val="es-ES"/>
        </w:rPr>
        <w:t>advierte</w:t>
      </w:r>
      <w:r w:rsidR="00BE00AA" w:rsidRPr="00F955EE">
        <w:rPr>
          <w:rFonts w:eastAsia="Verdana" w:cs="Verdana"/>
          <w:lang w:val="es-ES"/>
        </w:rPr>
        <w:t xml:space="preserve"> que</w:t>
      </w:r>
      <w:r w:rsidRPr="00F955EE">
        <w:rPr>
          <w:rFonts w:eastAsia="Verdana" w:cs="Verdana"/>
          <w:lang w:val="es-ES"/>
        </w:rPr>
        <w:t>,</w:t>
      </w:r>
      <w:r w:rsidR="00BE00AA" w:rsidRPr="00F955EE">
        <w:rPr>
          <w:rFonts w:eastAsia="Verdana" w:cs="Verdana"/>
          <w:lang w:val="es-ES"/>
        </w:rPr>
        <w:t xml:space="preserve"> ni las disposiciones de la Constitución referidas por el Estado, ni la “Ley de Funciones de la Policía Nacional en </w:t>
      </w:r>
      <w:r w:rsidR="00BE00AA" w:rsidRPr="00F955EE">
        <w:rPr>
          <w:color w:val="151515"/>
          <w:lang w:val="es-ES"/>
        </w:rPr>
        <w:t>materia</w:t>
      </w:r>
      <w:r w:rsidR="00BE00AA" w:rsidRPr="00F955EE">
        <w:rPr>
          <w:rFonts w:eastAsia="Verdana" w:cs="Verdana"/>
          <w:lang w:val="es-ES"/>
        </w:rPr>
        <w:t xml:space="preserve"> de Auxilio Judicial”</w:t>
      </w:r>
      <w:r w:rsidR="00BE00AA" w:rsidRPr="00F955EE">
        <w:rPr>
          <w:lang w:val="es-ES"/>
        </w:rPr>
        <w:t xml:space="preserve"> contenían regulación específica alguna con respecto al uso de la fuerza. </w:t>
      </w:r>
    </w:p>
    <w:p w14:paraId="688AEA59" w14:textId="77777777" w:rsidR="00A74556" w:rsidRPr="00F955EE" w:rsidRDefault="00A74556" w:rsidP="00063927">
      <w:pPr>
        <w:tabs>
          <w:tab w:val="left" w:pos="567"/>
        </w:tabs>
        <w:rPr>
          <w:color w:val="000000" w:themeColor="text1"/>
          <w:sz w:val="16"/>
          <w:szCs w:val="16"/>
        </w:rPr>
      </w:pPr>
    </w:p>
    <w:p w14:paraId="2CBC9303" w14:textId="1D9D4A0D" w:rsidR="002C7313" w:rsidRPr="00F955EE" w:rsidRDefault="00BE00AA" w:rsidP="004F0770">
      <w:pPr>
        <w:numPr>
          <w:ilvl w:val="0"/>
          <w:numId w:val="4"/>
        </w:numPr>
        <w:tabs>
          <w:tab w:val="left" w:pos="567"/>
          <w:tab w:val="num" w:pos="1569"/>
          <w:tab w:val="num" w:pos="12305"/>
        </w:tabs>
        <w:ind w:left="0" w:firstLine="0"/>
        <w:rPr>
          <w:color w:val="000000" w:themeColor="text1"/>
          <w:sz w:val="16"/>
          <w:szCs w:val="16"/>
        </w:rPr>
      </w:pPr>
      <w:r w:rsidRPr="00F955EE">
        <w:rPr>
          <w:lang w:val="es-ES"/>
        </w:rPr>
        <w:t xml:space="preserve">Con respecto al </w:t>
      </w:r>
      <w:r w:rsidRPr="00F955EE">
        <w:rPr>
          <w:rFonts w:eastAsia="Verdana" w:cs="Verdana"/>
          <w:lang w:val="es-ES"/>
        </w:rPr>
        <w:t xml:space="preserve">Decreto No. 45-92 </w:t>
      </w:r>
      <w:r w:rsidRPr="00F955EE">
        <w:rPr>
          <w:lang w:val="es-ES"/>
        </w:rPr>
        <w:t xml:space="preserve">“Ley Orgánica de la Policía Nacional”, la Corte </w:t>
      </w:r>
      <w:r w:rsidRPr="00F955EE">
        <w:rPr>
          <w:color w:val="000000"/>
          <w:lang w:val="es-ES"/>
        </w:rPr>
        <w:t>observa que dicha normativa contenía una única cláusula de carácter general con respecto al uso de las armas, indicando que éste debía regirse por los principios de congruencia, oportunidad y proporcionalidad y que sólo podía ser ejercido “</w:t>
      </w:r>
      <w:r w:rsidRPr="00F955EE">
        <w:rPr>
          <w:rFonts w:cs="Arial"/>
          <w:color w:val="000000"/>
          <w:lang w:val="es-ES" w:eastAsia="es-ES_tradnl"/>
        </w:rPr>
        <w:t>en las situaciones en que exista un riesgo racionalmente grave para su vida [de los miembros de la Policía Nacional], su integridad física o las de terceras personas; o en aquellas circunstancias que puedan suponer un grave riesgo para el orden público”</w:t>
      </w:r>
      <w:r w:rsidRPr="00F955EE">
        <w:rPr>
          <w:rStyle w:val="Refdenotaalpie"/>
          <w:rFonts w:cs="Arial"/>
          <w:color w:val="000000"/>
          <w:lang w:val="es-ES" w:eastAsia="es-ES_tradnl"/>
        </w:rPr>
        <w:footnoteReference w:id="76"/>
      </w:r>
      <w:r w:rsidRPr="00F955EE">
        <w:rPr>
          <w:color w:val="000000"/>
          <w:lang w:val="es-ES"/>
        </w:rPr>
        <w:t xml:space="preserve">. </w:t>
      </w:r>
      <w:r w:rsidRPr="00F955EE">
        <w:rPr>
          <w:iCs/>
          <w:color w:val="000000" w:themeColor="text1"/>
        </w:rPr>
        <w:t xml:space="preserve">A este </w:t>
      </w:r>
      <w:r w:rsidRPr="00F955EE">
        <w:rPr>
          <w:iCs/>
          <w:color w:val="000000" w:themeColor="text1"/>
        </w:rPr>
        <w:lastRenderedPageBreak/>
        <w:t xml:space="preserve">respecto, la Corte nota que la formulación “circunstancias que puedan suponer un grave riesgo para el orden público” contiene una redacción ampliamente vaga que puede abrir la puerta a un alto margen de discrecionalidad en la interpretación de dicho supuesto habilitante, máxime cuando no consta en el acervo probatorio ningún tipo de reglamentación adicional que especificara este tipo de situaciones. Además, </w:t>
      </w:r>
      <w:r w:rsidRPr="00F955EE">
        <w:rPr>
          <w:lang w:val="es-ES" w:eastAsia="es-ES_tradnl"/>
        </w:rPr>
        <w:t>el Tribunal considera que el uso de la fuerza debe ser regulado en el marco de un sistema que provea garantías efectivas contra un uso arbitrario y excesivo de la misma</w:t>
      </w:r>
      <w:r w:rsidRPr="00F955EE">
        <w:rPr>
          <w:rStyle w:val="Refdenotaalpie"/>
          <w:lang w:val="es-ES" w:eastAsia="es-ES_tradnl"/>
        </w:rPr>
        <w:footnoteReference w:id="77"/>
      </w:r>
      <w:r w:rsidRPr="00F955EE">
        <w:rPr>
          <w:lang w:val="es-ES" w:eastAsia="es-ES_tradnl"/>
        </w:rPr>
        <w:t>, cuestión que no suce</w:t>
      </w:r>
      <w:r w:rsidR="00BC2F4A">
        <w:rPr>
          <w:lang w:val="es-ES" w:eastAsia="es-ES_tradnl"/>
        </w:rPr>
        <w:t>d</w:t>
      </w:r>
      <w:r w:rsidRPr="00F955EE">
        <w:rPr>
          <w:lang w:val="es-ES" w:eastAsia="es-ES_tradnl"/>
        </w:rPr>
        <w:t xml:space="preserve">ió en el presente caso. </w:t>
      </w:r>
    </w:p>
    <w:p w14:paraId="71FA5D1D" w14:textId="77777777" w:rsidR="002C7313" w:rsidRPr="00F955EE" w:rsidRDefault="002C7313" w:rsidP="002C7313">
      <w:pPr>
        <w:tabs>
          <w:tab w:val="left" w:pos="567"/>
          <w:tab w:val="num" w:pos="12305"/>
        </w:tabs>
        <w:rPr>
          <w:color w:val="000000" w:themeColor="text1"/>
          <w:sz w:val="16"/>
          <w:szCs w:val="16"/>
        </w:rPr>
      </w:pPr>
    </w:p>
    <w:p w14:paraId="6652E3EA" w14:textId="02CE53C7" w:rsidR="00BE00AA" w:rsidRPr="00BF7184" w:rsidRDefault="002C7313" w:rsidP="004F0770">
      <w:pPr>
        <w:numPr>
          <w:ilvl w:val="0"/>
          <w:numId w:val="4"/>
        </w:numPr>
        <w:tabs>
          <w:tab w:val="left" w:pos="567"/>
          <w:tab w:val="num" w:pos="1569"/>
          <w:tab w:val="num" w:pos="12305"/>
        </w:tabs>
        <w:ind w:left="0" w:firstLine="0"/>
        <w:rPr>
          <w:color w:val="000000" w:themeColor="text1"/>
          <w:sz w:val="16"/>
          <w:szCs w:val="16"/>
        </w:rPr>
      </w:pPr>
      <w:r w:rsidRPr="00F955EE">
        <w:rPr>
          <w:color w:val="000000"/>
          <w:lang w:val="es-ES"/>
        </w:rPr>
        <w:t>Por otro lado</w:t>
      </w:r>
      <w:r w:rsidR="00BE00AA" w:rsidRPr="00F955EE">
        <w:rPr>
          <w:color w:val="000000"/>
          <w:lang w:val="es-ES"/>
        </w:rPr>
        <w:t xml:space="preserve">, </w:t>
      </w:r>
      <w:r w:rsidR="00E51578">
        <w:rPr>
          <w:color w:val="000000"/>
          <w:lang w:val="es-ES"/>
        </w:rPr>
        <w:t xml:space="preserve">con </w:t>
      </w:r>
      <w:r w:rsidR="000306D2">
        <w:rPr>
          <w:color w:val="000000"/>
          <w:lang w:val="es-ES"/>
        </w:rPr>
        <w:t xml:space="preserve">relación a los efectos de la señalada </w:t>
      </w:r>
      <w:r w:rsidR="000306D2" w:rsidRPr="00F955EE">
        <w:rPr>
          <w:rFonts w:eastAsia="Verdana" w:cs="Verdana"/>
          <w:lang w:val="es-ES"/>
        </w:rPr>
        <w:t>la Resolución 169/34 de la Asamblea General de las Naciones Unidas</w:t>
      </w:r>
      <w:r w:rsidR="000306D2">
        <w:rPr>
          <w:rFonts w:eastAsia="Verdana" w:cs="Verdana"/>
          <w:lang w:val="es-ES"/>
        </w:rPr>
        <w:t>, la Corte advierte que el efecto vinculante de las Resoluciones dictadas por la Asamblea General se encuentra limitado y, como regla general, poseen un carácter recomendatorio</w:t>
      </w:r>
      <w:r w:rsidR="000306D2">
        <w:rPr>
          <w:rStyle w:val="Refdenotaalpie"/>
          <w:rFonts w:eastAsia="Verdana" w:cs="Verdana"/>
          <w:lang w:val="es-ES"/>
        </w:rPr>
        <w:footnoteReference w:id="78"/>
      </w:r>
      <w:r w:rsidR="000306D2">
        <w:rPr>
          <w:rFonts w:eastAsia="Verdana" w:cs="Verdana"/>
          <w:lang w:val="es-ES"/>
        </w:rPr>
        <w:t>.</w:t>
      </w:r>
      <w:r w:rsidR="00BF7184">
        <w:rPr>
          <w:color w:val="000000" w:themeColor="text1"/>
          <w:sz w:val="16"/>
          <w:szCs w:val="16"/>
          <w:lang w:val="es-ES"/>
        </w:rPr>
        <w:t xml:space="preserve"> </w:t>
      </w:r>
      <w:r w:rsidR="000306D2" w:rsidRPr="00BF7184">
        <w:rPr>
          <w:color w:val="000000"/>
          <w:lang w:val="es-ES"/>
        </w:rPr>
        <w:t xml:space="preserve">Por último, </w:t>
      </w:r>
      <w:r w:rsidR="00BE00AA" w:rsidRPr="00BF7184">
        <w:rPr>
          <w:color w:val="000000"/>
          <w:lang w:val="es-ES"/>
        </w:rPr>
        <w:t xml:space="preserve">con respecto </w:t>
      </w:r>
      <w:r w:rsidR="00984CC5" w:rsidRPr="00BF7184">
        <w:rPr>
          <w:lang w:val="es-ES"/>
        </w:rPr>
        <w:t>a</w:t>
      </w:r>
      <w:r w:rsidR="00BE00AA" w:rsidRPr="00BF7184">
        <w:rPr>
          <w:lang w:val="es-ES"/>
        </w:rPr>
        <w:t>l “</w:t>
      </w:r>
      <w:r w:rsidR="00BE00AA" w:rsidRPr="00BF7184">
        <w:rPr>
          <w:rFonts w:eastAsia="Verdana" w:cs="Verdana"/>
          <w:lang w:val="es-ES"/>
        </w:rPr>
        <w:t xml:space="preserve">Código de conducta para funcionario encargados de hacer cumplir la ley” alegado por el Estado, la Corte </w:t>
      </w:r>
      <w:r w:rsidR="008D1DB7" w:rsidRPr="00BF7184">
        <w:rPr>
          <w:rFonts w:eastAsia="Verdana" w:cs="Verdana"/>
          <w:lang w:val="es-ES"/>
        </w:rPr>
        <w:t>nota</w:t>
      </w:r>
      <w:r w:rsidR="00BE00AA" w:rsidRPr="00BF7184">
        <w:rPr>
          <w:rFonts w:eastAsia="Verdana" w:cs="Verdana"/>
          <w:lang w:val="es-ES"/>
        </w:rPr>
        <w:t xml:space="preserve"> que el mismo no fue aportado por el Estado y, por tanto, no puede ser evaluado por este Tribunal. </w:t>
      </w:r>
      <w:r w:rsidRPr="00BF7184">
        <w:rPr>
          <w:rFonts w:eastAsia="Verdana" w:cs="Verdana"/>
          <w:lang w:val="es-ES"/>
        </w:rPr>
        <w:t>Asimismo</w:t>
      </w:r>
      <w:r w:rsidR="00BE00AA" w:rsidRPr="00BF7184">
        <w:rPr>
          <w:rFonts w:eastAsia="Verdana" w:cs="Verdana"/>
          <w:lang w:val="es-ES"/>
        </w:rPr>
        <w:t>, la Corte también observa que en el operativo en el que resultó muerto el señor Pedro Bacilio Roche Azaña y su hermano Patricio Fernando también participaron militares y miembros de la policía voluntaria (</w:t>
      </w:r>
      <w:r w:rsidR="00BE00AA" w:rsidRPr="00BF7184">
        <w:rPr>
          <w:rFonts w:eastAsia="Verdana" w:cs="Verdana"/>
          <w:i/>
          <w:iCs/>
          <w:lang w:val="es-ES"/>
        </w:rPr>
        <w:t>supra</w:t>
      </w:r>
      <w:r w:rsidR="00BE00AA" w:rsidRPr="00BF7184">
        <w:rPr>
          <w:rFonts w:eastAsia="Verdana" w:cs="Verdana"/>
          <w:lang w:val="es-ES"/>
        </w:rPr>
        <w:t xml:space="preserve"> párr. </w:t>
      </w:r>
      <w:r w:rsidR="007469BE">
        <w:rPr>
          <w:rFonts w:eastAsia="Verdana" w:cs="Verdana"/>
          <w:lang w:val="es-ES"/>
        </w:rPr>
        <w:t>31</w:t>
      </w:r>
      <w:r w:rsidR="00BE00AA" w:rsidRPr="00BF7184">
        <w:rPr>
          <w:rFonts w:eastAsia="Verdana" w:cs="Verdana"/>
          <w:lang w:val="es-ES"/>
        </w:rPr>
        <w:t xml:space="preserve">). El Estado no ha alegado ni desplegado ningún tipo de actividad probatoria con respecto a la regulación específica del uso de la fuerza de dichos cuerpos de seguridad. </w:t>
      </w:r>
    </w:p>
    <w:p w14:paraId="3AFC3683" w14:textId="77777777" w:rsidR="00BE00AA" w:rsidRPr="00F955EE" w:rsidRDefault="00BE00AA" w:rsidP="002C7313">
      <w:pPr>
        <w:tabs>
          <w:tab w:val="left" w:pos="567"/>
          <w:tab w:val="num" w:pos="12305"/>
        </w:tabs>
        <w:rPr>
          <w:sz w:val="24"/>
          <w:szCs w:val="24"/>
          <w:lang w:val="es-ES" w:eastAsia="es-ES_tradnl"/>
        </w:rPr>
      </w:pPr>
    </w:p>
    <w:p w14:paraId="54E15DE6" w14:textId="3A62428F" w:rsidR="00CE7D34" w:rsidRPr="00F955EE" w:rsidRDefault="002C7313" w:rsidP="004F0770">
      <w:pPr>
        <w:numPr>
          <w:ilvl w:val="0"/>
          <w:numId w:val="4"/>
        </w:numPr>
        <w:tabs>
          <w:tab w:val="left" w:pos="567"/>
          <w:tab w:val="num" w:pos="1569"/>
          <w:tab w:val="num" w:pos="12305"/>
        </w:tabs>
        <w:ind w:left="0" w:firstLine="0"/>
        <w:rPr>
          <w:sz w:val="24"/>
          <w:szCs w:val="24"/>
          <w:lang w:val="es-ES" w:eastAsia="es-ES_tradnl"/>
        </w:rPr>
      </w:pPr>
      <w:r w:rsidRPr="00F955EE">
        <w:rPr>
          <w:lang w:val="es-ES" w:eastAsia="es-ES_tradnl"/>
        </w:rPr>
        <w:t xml:space="preserve">A la vista de todo lo anterior, la Corte considera que en el presente caso no se cumplió con el requisito de </w:t>
      </w:r>
      <w:r w:rsidRPr="00F955EE">
        <w:rPr>
          <w:color w:val="000000"/>
          <w:lang w:val="es-ES"/>
        </w:rPr>
        <w:t>legalidad</w:t>
      </w:r>
      <w:r w:rsidRPr="00F955EE">
        <w:rPr>
          <w:lang w:val="es-ES" w:eastAsia="es-ES_tradnl"/>
        </w:rPr>
        <w:t xml:space="preserve">. Además, lo anterior </w:t>
      </w:r>
      <w:r w:rsidR="00810A02">
        <w:rPr>
          <w:lang w:val="es-ES" w:eastAsia="es-ES_tradnl"/>
        </w:rPr>
        <w:t xml:space="preserve">también </w:t>
      </w:r>
      <w:r w:rsidRPr="00F955EE">
        <w:rPr>
          <w:lang w:val="es-ES" w:eastAsia="es-ES_tradnl"/>
        </w:rPr>
        <w:t xml:space="preserve">implica que </w:t>
      </w:r>
      <w:r w:rsidRPr="00F955EE">
        <w:rPr>
          <w:lang w:val="es-ES"/>
        </w:rPr>
        <w:t>el Estado no cumplió con su obligación de garantizar los derechos a la vida y a la integridad personal mediante una adecuada legislación sobre el uso de la fuerza, lo cual supuso una violación del artículo 2 de la Convención Americana.</w:t>
      </w:r>
      <w:r w:rsidRPr="00F955EE">
        <w:rPr>
          <w:sz w:val="24"/>
          <w:szCs w:val="24"/>
          <w:lang w:val="es-ES" w:eastAsia="es-ES_tradnl"/>
        </w:rPr>
        <w:t xml:space="preserve"> </w:t>
      </w:r>
    </w:p>
    <w:p w14:paraId="7264A352" w14:textId="77777777" w:rsidR="00CE7D34" w:rsidRPr="00F955EE" w:rsidRDefault="00CE7D34" w:rsidP="00CE7D34">
      <w:pPr>
        <w:tabs>
          <w:tab w:val="left" w:pos="567"/>
        </w:tabs>
        <w:rPr>
          <w:sz w:val="24"/>
          <w:szCs w:val="24"/>
          <w:lang w:val="es-ES" w:eastAsia="es-ES_tradnl"/>
        </w:rPr>
      </w:pPr>
    </w:p>
    <w:p w14:paraId="5BC20333" w14:textId="4070B935" w:rsidR="00C23C1D" w:rsidRPr="00F955EE" w:rsidRDefault="00AA4335" w:rsidP="004F0770">
      <w:pPr>
        <w:numPr>
          <w:ilvl w:val="0"/>
          <w:numId w:val="4"/>
        </w:numPr>
        <w:tabs>
          <w:tab w:val="left" w:pos="567"/>
          <w:tab w:val="num" w:pos="1569"/>
          <w:tab w:val="num" w:pos="12305"/>
        </w:tabs>
        <w:ind w:left="0" w:firstLine="0"/>
        <w:rPr>
          <w:sz w:val="24"/>
          <w:szCs w:val="24"/>
          <w:lang w:val="es-ES" w:eastAsia="es-ES_tradnl"/>
        </w:rPr>
      </w:pPr>
      <w:r w:rsidRPr="00F955EE">
        <w:rPr>
          <w:lang w:val="es-ES" w:eastAsia="es-ES_tradnl"/>
        </w:rPr>
        <w:t xml:space="preserve">Sin perjuicio de lo </w:t>
      </w:r>
      <w:r w:rsidR="002C7313" w:rsidRPr="00F955EE">
        <w:rPr>
          <w:lang w:val="es-ES" w:eastAsia="es-ES_tradnl"/>
        </w:rPr>
        <w:t>determinado</w:t>
      </w:r>
      <w:r w:rsidR="00810A02">
        <w:rPr>
          <w:lang w:val="es-ES" w:eastAsia="es-ES_tradnl"/>
        </w:rPr>
        <w:t xml:space="preserve"> en los párrafos</w:t>
      </w:r>
      <w:r w:rsidR="00E51578" w:rsidRPr="00E51578">
        <w:rPr>
          <w:lang w:val="es-ES" w:eastAsia="es-ES_tradnl"/>
        </w:rPr>
        <w:t xml:space="preserve"> </w:t>
      </w:r>
      <w:r w:rsidR="00E51578">
        <w:rPr>
          <w:lang w:val="es-ES" w:eastAsia="es-ES_tradnl"/>
        </w:rPr>
        <w:t>anteriores</w:t>
      </w:r>
      <w:r w:rsidRPr="00F955EE">
        <w:rPr>
          <w:lang w:val="es-ES" w:eastAsia="es-ES_tradnl"/>
        </w:rPr>
        <w:t xml:space="preserve">, la Corte </w:t>
      </w:r>
      <w:r w:rsidR="007970C6" w:rsidRPr="00F955EE">
        <w:rPr>
          <w:lang w:val="es-ES" w:eastAsia="es-ES_tradnl"/>
        </w:rPr>
        <w:t>estima</w:t>
      </w:r>
      <w:r w:rsidRPr="00F955EE">
        <w:rPr>
          <w:lang w:val="es-ES" w:eastAsia="es-ES_tradnl"/>
        </w:rPr>
        <w:t xml:space="preserve"> necesario</w:t>
      </w:r>
      <w:r w:rsidR="00810A02">
        <w:rPr>
          <w:lang w:val="es-ES" w:eastAsia="es-ES_tradnl"/>
        </w:rPr>
        <w:t>, en el presente caso,</w:t>
      </w:r>
      <w:r w:rsidRPr="00F955EE">
        <w:rPr>
          <w:lang w:val="es-ES" w:eastAsia="es-ES_tradnl"/>
        </w:rPr>
        <w:t xml:space="preserve"> continuar con el análisis del uso de la fuerza </w:t>
      </w:r>
      <w:r w:rsidR="007970C6" w:rsidRPr="00F955EE">
        <w:rPr>
          <w:lang w:val="es-ES" w:eastAsia="es-ES_tradnl"/>
        </w:rPr>
        <w:t>ejercido</w:t>
      </w:r>
      <w:r w:rsidRPr="00F955EE">
        <w:rPr>
          <w:lang w:val="es-ES" w:eastAsia="es-ES_tradnl"/>
        </w:rPr>
        <w:t xml:space="preserve"> </w:t>
      </w:r>
      <w:r w:rsidR="00FE2F0F" w:rsidRPr="00F955EE">
        <w:rPr>
          <w:lang w:val="es-ES" w:eastAsia="es-ES_tradnl"/>
        </w:rPr>
        <w:t>y su cumplimiento con lo</w:t>
      </w:r>
      <w:r w:rsidR="002C7313" w:rsidRPr="00F955EE">
        <w:rPr>
          <w:lang w:val="es-ES" w:eastAsia="es-ES_tradnl"/>
        </w:rPr>
        <w:t xml:space="preserve">s restantes </w:t>
      </w:r>
      <w:r w:rsidR="00FE2F0F" w:rsidRPr="00F955EE">
        <w:rPr>
          <w:lang w:val="es-ES" w:eastAsia="es-ES_tradnl"/>
        </w:rPr>
        <w:t>requisitos.</w:t>
      </w:r>
      <w:r w:rsidR="00401DF1" w:rsidRPr="00F955EE">
        <w:rPr>
          <w:lang w:val="es-ES" w:eastAsia="es-ES_tradnl"/>
        </w:rPr>
        <w:t xml:space="preserve"> </w:t>
      </w:r>
    </w:p>
    <w:p w14:paraId="38D34300" w14:textId="77777777" w:rsidR="0069720D" w:rsidRPr="00F955EE" w:rsidRDefault="0069720D" w:rsidP="0069720D">
      <w:pPr>
        <w:tabs>
          <w:tab w:val="left" w:pos="567"/>
        </w:tabs>
        <w:rPr>
          <w:spacing w:val="-2"/>
          <w:lang w:val="es-ES"/>
        </w:rPr>
      </w:pPr>
    </w:p>
    <w:p w14:paraId="41DF3627" w14:textId="34682634" w:rsidR="00602920" w:rsidRPr="00BD22B3" w:rsidRDefault="002C7313" w:rsidP="004F0770">
      <w:pPr>
        <w:numPr>
          <w:ilvl w:val="0"/>
          <w:numId w:val="4"/>
        </w:numPr>
        <w:tabs>
          <w:tab w:val="left" w:pos="567"/>
          <w:tab w:val="num" w:pos="1569"/>
          <w:tab w:val="num" w:pos="12305"/>
        </w:tabs>
        <w:ind w:left="0" w:firstLine="0"/>
        <w:rPr>
          <w:color w:val="000000" w:themeColor="text1"/>
          <w:lang w:val="es-ES"/>
        </w:rPr>
      </w:pPr>
      <w:r w:rsidRPr="00BD22B3">
        <w:rPr>
          <w:color w:val="000000" w:themeColor="text1"/>
          <w:lang w:val="es-ES"/>
        </w:rPr>
        <w:t>Así, c</w:t>
      </w:r>
      <w:r w:rsidR="0069720D" w:rsidRPr="00BD22B3">
        <w:rPr>
          <w:color w:val="000000" w:themeColor="text1"/>
          <w:lang w:val="es-ES"/>
        </w:rPr>
        <w:t xml:space="preserve">on </w:t>
      </w:r>
      <w:r w:rsidR="0069720D" w:rsidRPr="00BD22B3">
        <w:rPr>
          <w:color w:val="000000" w:themeColor="text1"/>
          <w:spacing w:val="-2"/>
          <w:lang w:val="es-ES"/>
        </w:rPr>
        <w:t>respecto</w:t>
      </w:r>
      <w:r w:rsidR="0069720D" w:rsidRPr="00BD22B3">
        <w:rPr>
          <w:color w:val="000000" w:themeColor="text1"/>
          <w:lang w:val="es-ES"/>
        </w:rPr>
        <w:t xml:space="preserve"> al segundo</w:t>
      </w:r>
      <w:r w:rsidR="000D38AF" w:rsidRPr="00BD22B3">
        <w:rPr>
          <w:color w:val="000000" w:themeColor="text1"/>
          <w:lang w:val="es-ES"/>
        </w:rPr>
        <w:t xml:space="preserve"> requisito</w:t>
      </w:r>
      <w:r w:rsidR="00AA4335" w:rsidRPr="00BD22B3">
        <w:rPr>
          <w:color w:val="000000" w:themeColor="text1"/>
          <w:lang w:val="es-ES"/>
        </w:rPr>
        <w:t>,</w:t>
      </w:r>
      <w:r w:rsidR="000D38AF" w:rsidRPr="00BD22B3">
        <w:rPr>
          <w:color w:val="000000" w:themeColor="text1"/>
          <w:lang w:val="es-ES"/>
        </w:rPr>
        <w:t xml:space="preserve"> </w:t>
      </w:r>
      <w:r w:rsidR="00AA4335" w:rsidRPr="00BD22B3">
        <w:rPr>
          <w:color w:val="000000" w:themeColor="text1"/>
          <w:lang w:val="es-ES"/>
        </w:rPr>
        <w:t>l</w:t>
      </w:r>
      <w:r w:rsidR="009E43A5" w:rsidRPr="00BD22B3">
        <w:rPr>
          <w:color w:val="000000" w:themeColor="text1"/>
          <w:lang w:val="es-ES"/>
        </w:rPr>
        <w:t>a Corte señala</w:t>
      </w:r>
      <w:r w:rsidR="0090622E" w:rsidRPr="00BD22B3">
        <w:rPr>
          <w:color w:val="000000" w:themeColor="text1"/>
          <w:lang w:val="es-ES"/>
        </w:rPr>
        <w:t>,</w:t>
      </w:r>
      <w:r w:rsidR="009E43A5" w:rsidRPr="00BD22B3">
        <w:rPr>
          <w:color w:val="000000" w:themeColor="text1"/>
          <w:lang w:val="es-ES"/>
        </w:rPr>
        <w:t xml:space="preserve"> </w:t>
      </w:r>
      <w:r w:rsidR="00AA4335" w:rsidRPr="00BD22B3">
        <w:rPr>
          <w:color w:val="000000" w:themeColor="text1"/>
          <w:lang w:val="es-ES"/>
        </w:rPr>
        <w:t>con carácter previo</w:t>
      </w:r>
      <w:r w:rsidR="0090622E" w:rsidRPr="00BD22B3">
        <w:rPr>
          <w:color w:val="000000" w:themeColor="text1"/>
          <w:lang w:val="es-ES"/>
        </w:rPr>
        <w:t>,</w:t>
      </w:r>
      <w:r w:rsidR="00AA4335" w:rsidRPr="00BD22B3">
        <w:rPr>
          <w:color w:val="000000" w:themeColor="text1"/>
          <w:lang w:val="es-ES"/>
        </w:rPr>
        <w:t xml:space="preserve"> </w:t>
      </w:r>
      <w:r w:rsidR="009E43A5" w:rsidRPr="00BD22B3">
        <w:rPr>
          <w:color w:val="000000" w:themeColor="text1"/>
          <w:lang w:val="es-ES"/>
        </w:rPr>
        <w:t>que en este apartado</w:t>
      </w:r>
      <w:r w:rsidR="00AA4335" w:rsidRPr="00BD22B3">
        <w:rPr>
          <w:color w:val="000000" w:themeColor="text1"/>
          <w:lang w:val="es-ES"/>
        </w:rPr>
        <w:t xml:space="preserve"> se</w:t>
      </w:r>
      <w:r w:rsidR="009E43A5" w:rsidRPr="00BD22B3">
        <w:rPr>
          <w:color w:val="000000" w:themeColor="text1"/>
          <w:lang w:val="es-ES"/>
        </w:rPr>
        <w:t xml:space="preserve"> analizará la </w:t>
      </w:r>
      <w:r w:rsidR="009E43A5" w:rsidRPr="00BD22B3">
        <w:rPr>
          <w:i/>
          <w:iCs/>
          <w:color w:val="000000" w:themeColor="text1"/>
          <w:lang w:val="es-ES"/>
        </w:rPr>
        <w:t>finalidad legítima</w:t>
      </w:r>
      <w:r w:rsidR="009E43A5" w:rsidRPr="00BD22B3">
        <w:rPr>
          <w:color w:val="000000" w:themeColor="text1"/>
          <w:lang w:val="es-ES"/>
        </w:rPr>
        <w:t xml:space="preserve"> </w:t>
      </w:r>
      <w:r w:rsidR="00AA4335" w:rsidRPr="00BD22B3">
        <w:rPr>
          <w:color w:val="000000" w:themeColor="text1"/>
          <w:lang w:val="es-ES"/>
        </w:rPr>
        <w:t>perseguida</w:t>
      </w:r>
      <w:r w:rsidR="009E43A5" w:rsidRPr="00BD22B3">
        <w:rPr>
          <w:color w:val="000000" w:themeColor="text1"/>
          <w:lang w:val="es-ES"/>
        </w:rPr>
        <w:t xml:space="preserve"> con el uso de la fuerza, destacando que, </w:t>
      </w:r>
      <w:r w:rsidR="00072432" w:rsidRPr="00BD22B3">
        <w:rPr>
          <w:color w:val="000000" w:themeColor="text1"/>
          <w:lang w:val="es-ES"/>
        </w:rPr>
        <w:t>en principio,</w:t>
      </w:r>
      <w:r w:rsidR="009E43A5" w:rsidRPr="00BD22B3">
        <w:rPr>
          <w:color w:val="000000" w:themeColor="text1"/>
          <w:lang w:val="es-ES"/>
        </w:rPr>
        <w:t xml:space="preserve"> no todo uso de la fuerza implica</w:t>
      </w:r>
      <w:r w:rsidR="00072432" w:rsidRPr="00BD22B3">
        <w:rPr>
          <w:color w:val="000000" w:themeColor="text1"/>
          <w:lang w:val="es-ES"/>
        </w:rPr>
        <w:t xml:space="preserve"> necesariamente</w:t>
      </w:r>
      <w:r w:rsidR="009E43A5" w:rsidRPr="00BD22B3">
        <w:rPr>
          <w:color w:val="000000" w:themeColor="text1"/>
          <w:lang w:val="es-ES"/>
        </w:rPr>
        <w:t xml:space="preserve"> el uso de armas de fueg</w:t>
      </w:r>
      <w:r w:rsidR="00072432" w:rsidRPr="00BD22B3">
        <w:rPr>
          <w:color w:val="000000" w:themeColor="text1"/>
          <w:lang w:val="es-ES"/>
        </w:rPr>
        <w:t>o</w:t>
      </w:r>
      <w:r w:rsidR="009E43A5" w:rsidRPr="00BD22B3">
        <w:rPr>
          <w:color w:val="000000" w:themeColor="text1"/>
          <w:lang w:val="es-ES"/>
        </w:rPr>
        <w:t>.</w:t>
      </w:r>
      <w:r w:rsidR="00072432" w:rsidRPr="00BD22B3">
        <w:rPr>
          <w:color w:val="000000" w:themeColor="text1"/>
          <w:lang w:val="es-ES"/>
        </w:rPr>
        <w:t xml:space="preserve"> Efectivamente, los agentes </w:t>
      </w:r>
      <w:r w:rsidR="007970C6" w:rsidRPr="00BD22B3">
        <w:rPr>
          <w:color w:val="000000" w:themeColor="text1"/>
          <w:lang w:val="es-ES"/>
        </w:rPr>
        <w:t>y fuerzas de seguridad del Estado</w:t>
      </w:r>
      <w:r w:rsidR="00072432" w:rsidRPr="00BD22B3">
        <w:rPr>
          <w:color w:val="000000" w:themeColor="text1"/>
          <w:lang w:val="es-ES"/>
        </w:rPr>
        <w:t xml:space="preserve"> pueden recurrir al uso de la fuerza para</w:t>
      </w:r>
      <w:r w:rsidR="0090622E" w:rsidRPr="00BD22B3">
        <w:rPr>
          <w:color w:val="000000" w:themeColor="text1"/>
          <w:lang w:val="es-ES"/>
        </w:rPr>
        <w:t xml:space="preserve"> multitud de situaciones en las que no es necesario el uso de armas de fuego, tal y como puede suceder al </w:t>
      </w:r>
      <w:r w:rsidR="00072432" w:rsidRPr="00BD22B3">
        <w:rPr>
          <w:color w:val="000000" w:themeColor="text1"/>
          <w:lang w:val="es-ES"/>
        </w:rPr>
        <w:t>detener a una persona en virtud de orden judicial</w:t>
      </w:r>
      <w:r w:rsidR="008F7A31" w:rsidRPr="00BD22B3">
        <w:rPr>
          <w:color w:val="000000" w:themeColor="text1"/>
          <w:lang w:val="es-ES"/>
        </w:rPr>
        <w:t xml:space="preserve">, </w:t>
      </w:r>
      <w:r w:rsidR="00810A02" w:rsidRPr="00BD22B3">
        <w:rPr>
          <w:color w:val="000000" w:themeColor="text1"/>
          <w:lang w:val="es-ES"/>
        </w:rPr>
        <w:t xml:space="preserve">para </w:t>
      </w:r>
      <w:r w:rsidR="008F7A31" w:rsidRPr="00BD22B3">
        <w:rPr>
          <w:color w:val="000000" w:themeColor="text1"/>
          <w:lang w:val="es-ES"/>
        </w:rPr>
        <w:t xml:space="preserve">evitar la comisión de un delito o por la comisión de un delito </w:t>
      </w:r>
      <w:r w:rsidR="0090622E" w:rsidRPr="00BD22B3">
        <w:rPr>
          <w:color w:val="000000" w:themeColor="text1"/>
          <w:lang w:val="es-ES"/>
        </w:rPr>
        <w:t>f</w:t>
      </w:r>
      <w:r w:rsidR="000B014F" w:rsidRPr="00BD22B3">
        <w:rPr>
          <w:color w:val="000000" w:themeColor="text1"/>
          <w:lang w:val="es-ES"/>
        </w:rPr>
        <w:t>l</w:t>
      </w:r>
      <w:r w:rsidR="0090622E" w:rsidRPr="00BD22B3">
        <w:rPr>
          <w:color w:val="000000" w:themeColor="text1"/>
          <w:lang w:val="es-ES"/>
        </w:rPr>
        <w:t>ag</w:t>
      </w:r>
      <w:r w:rsidR="000B014F" w:rsidRPr="00BD22B3">
        <w:rPr>
          <w:color w:val="000000" w:themeColor="text1"/>
          <w:lang w:val="es-ES"/>
        </w:rPr>
        <w:t>r</w:t>
      </w:r>
      <w:r w:rsidR="0090622E" w:rsidRPr="00BD22B3">
        <w:rPr>
          <w:color w:val="000000" w:themeColor="text1"/>
          <w:lang w:val="es-ES"/>
        </w:rPr>
        <w:t>ante</w:t>
      </w:r>
      <w:r w:rsidR="00810A02" w:rsidRPr="00BD22B3">
        <w:rPr>
          <w:color w:val="000000" w:themeColor="text1"/>
          <w:lang w:val="es-ES"/>
        </w:rPr>
        <w:t>;</w:t>
      </w:r>
      <w:r w:rsidR="008F7A31" w:rsidRPr="00BD22B3">
        <w:rPr>
          <w:color w:val="000000" w:themeColor="text1"/>
          <w:lang w:val="es-ES"/>
        </w:rPr>
        <w:t xml:space="preserve"> </w:t>
      </w:r>
      <w:r w:rsidR="002F5A56" w:rsidRPr="00BD22B3">
        <w:rPr>
          <w:color w:val="000000" w:themeColor="text1"/>
          <w:lang w:val="es-ES"/>
        </w:rPr>
        <w:t xml:space="preserve">o, por ejemplo, </w:t>
      </w:r>
      <w:r w:rsidR="008F7A31" w:rsidRPr="00BD22B3">
        <w:rPr>
          <w:color w:val="000000" w:themeColor="text1"/>
          <w:lang w:val="es-ES"/>
        </w:rPr>
        <w:t>para mantener el</w:t>
      </w:r>
      <w:r w:rsidR="00072432" w:rsidRPr="00BD22B3">
        <w:rPr>
          <w:color w:val="000000" w:themeColor="text1"/>
          <w:lang w:val="es-ES"/>
        </w:rPr>
        <w:t xml:space="preserve"> orden público en </w:t>
      </w:r>
      <w:r w:rsidR="00072432" w:rsidRPr="00BD22B3">
        <w:rPr>
          <w:color w:val="000000" w:themeColor="text1"/>
          <w:lang w:val="es-ES"/>
        </w:rPr>
        <w:lastRenderedPageBreak/>
        <w:t>actos de natur</w:t>
      </w:r>
      <w:r w:rsidR="002F5A56" w:rsidRPr="00BD22B3">
        <w:rPr>
          <w:color w:val="000000" w:themeColor="text1"/>
          <w:lang w:val="es-ES"/>
        </w:rPr>
        <w:t>ale</w:t>
      </w:r>
      <w:r w:rsidR="00072432" w:rsidRPr="00BD22B3">
        <w:rPr>
          <w:color w:val="000000" w:themeColor="text1"/>
          <w:lang w:val="es-ES"/>
        </w:rPr>
        <w:t xml:space="preserve">za pública </w:t>
      </w:r>
      <w:r w:rsidR="00AA4335" w:rsidRPr="00BD22B3">
        <w:rPr>
          <w:color w:val="000000" w:themeColor="text1"/>
          <w:lang w:val="es-ES"/>
        </w:rPr>
        <w:t>donde haya</w:t>
      </w:r>
      <w:r w:rsidR="00072432" w:rsidRPr="00BD22B3">
        <w:rPr>
          <w:color w:val="000000" w:themeColor="text1"/>
          <w:lang w:val="es-ES"/>
        </w:rPr>
        <w:t xml:space="preserve"> congregación de persona</w:t>
      </w:r>
      <w:r w:rsidR="00810A02" w:rsidRPr="00BD22B3">
        <w:rPr>
          <w:color w:val="000000" w:themeColor="text1"/>
          <w:lang w:val="es-ES"/>
        </w:rPr>
        <w:t>s</w:t>
      </w:r>
      <w:r w:rsidR="0090622E" w:rsidRPr="00BD22B3">
        <w:rPr>
          <w:color w:val="000000" w:themeColor="text1"/>
          <w:lang w:val="es-ES"/>
        </w:rPr>
        <w:t xml:space="preserve"> y garantizar </w:t>
      </w:r>
      <w:r w:rsidR="007469BE">
        <w:rPr>
          <w:color w:val="000000" w:themeColor="text1"/>
          <w:lang w:val="es-ES"/>
        </w:rPr>
        <w:t xml:space="preserve">así </w:t>
      </w:r>
      <w:r w:rsidR="0090622E" w:rsidRPr="00BD22B3">
        <w:rPr>
          <w:color w:val="000000" w:themeColor="text1"/>
          <w:lang w:val="es-ES"/>
        </w:rPr>
        <w:t xml:space="preserve">su seguridad. </w:t>
      </w:r>
      <w:r w:rsidR="008F7A31" w:rsidRPr="00BD22B3">
        <w:rPr>
          <w:color w:val="000000" w:themeColor="text1"/>
          <w:lang w:val="es-ES"/>
        </w:rPr>
        <w:t>Es por ello que en el presente apartado se analizará la existencia o no de una finalidad legítima con respecto al uso de la fuerza en términos generales.</w:t>
      </w:r>
      <w:r w:rsidR="009E43A5" w:rsidRPr="00BD22B3">
        <w:rPr>
          <w:color w:val="000000" w:themeColor="text1"/>
          <w:lang w:val="es-ES"/>
        </w:rPr>
        <w:t xml:space="preserve"> </w:t>
      </w:r>
      <w:r w:rsidR="008F7A31" w:rsidRPr="00BD22B3">
        <w:rPr>
          <w:color w:val="000000" w:themeColor="text1"/>
          <w:lang w:val="es-ES"/>
        </w:rPr>
        <w:t>E</w:t>
      </w:r>
      <w:r w:rsidR="009E43A5" w:rsidRPr="00BD22B3">
        <w:rPr>
          <w:color w:val="000000" w:themeColor="text1"/>
          <w:lang w:val="es-ES"/>
        </w:rPr>
        <w:t xml:space="preserve">l tipo y forma de fuerza utilizada será </w:t>
      </w:r>
      <w:r w:rsidR="007970C6" w:rsidRPr="00BD22B3">
        <w:rPr>
          <w:color w:val="000000" w:themeColor="text1"/>
          <w:lang w:val="es-ES"/>
        </w:rPr>
        <w:t>objeto de análisis</w:t>
      </w:r>
      <w:r w:rsidR="009E43A5" w:rsidRPr="00BD22B3">
        <w:rPr>
          <w:color w:val="000000" w:themeColor="text1"/>
          <w:lang w:val="es-ES"/>
        </w:rPr>
        <w:t xml:space="preserve"> en los apartados de necesidad y proporcionalidad. </w:t>
      </w:r>
      <w:r w:rsidR="00810A02" w:rsidRPr="00BD22B3">
        <w:rPr>
          <w:color w:val="000000" w:themeColor="text1"/>
          <w:lang w:val="es-ES"/>
        </w:rPr>
        <w:t>Realizada tal aclaración, l</w:t>
      </w:r>
      <w:r w:rsidR="00CE7D34" w:rsidRPr="00BD22B3">
        <w:rPr>
          <w:color w:val="000000" w:themeColor="text1"/>
          <w:lang w:val="es-ES"/>
        </w:rPr>
        <w:t>a</w:t>
      </w:r>
      <w:r w:rsidR="00AA4335" w:rsidRPr="00BD22B3">
        <w:rPr>
          <w:color w:val="000000" w:themeColor="text1"/>
          <w:lang w:val="es-ES"/>
        </w:rPr>
        <w:t xml:space="preserve"> Corte </w:t>
      </w:r>
      <w:r w:rsidR="000C63D6" w:rsidRPr="00BD22B3">
        <w:rPr>
          <w:color w:val="000000" w:themeColor="text1"/>
          <w:lang w:val="es-ES"/>
        </w:rPr>
        <w:t>advierte</w:t>
      </w:r>
      <w:r w:rsidR="00AA4335" w:rsidRPr="00BD22B3">
        <w:rPr>
          <w:color w:val="000000" w:themeColor="text1"/>
          <w:lang w:val="es-ES"/>
        </w:rPr>
        <w:t xml:space="preserve"> </w:t>
      </w:r>
      <w:r w:rsidR="000C63D6" w:rsidRPr="00BD22B3">
        <w:rPr>
          <w:color w:val="000000" w:themeColor="text1"/>
          <w:lang w:val="es-ES"/>
        </w:rPr>
        <w:t xml:space="preserve">que, </w:t>
      </w:r>
      <w:r w:rsidR="00602920" w:rsidRPr="00BD22B3">
        <w:rPr>
          <w:color w:val="000000" w:themeColor="text1"/>
          <w:lang w:val="es-ES"/>
        </w:rPr>
        <w:t xml:space="preserve">de </w:t>
      </w:r>
      <w:r w:rsidR="0004752E" w:rsidRPr="00BD22B3">
        <w:rPr>
          <w:color w:val="000000" w:themeColor="text1"/>
          <w:lang w:val="es-ES"/>
        </w:rPr>
        <w:t>conformidad con la</w:t>
      </w:r>
      <w:r w:rsidR="00602920" w:rsidRPr="00BD22B3">
        <w:rPr>
          <w:color w:val="000000" w:themeColor="text1"/>
          <w:lang w:val="es-ES"/>
        </w:rPr>
        <w:t xml:space="preserve"> prueba obrante en el pres</w:t>
      </w:r>
      <w:r w:rsidR="000C63D6" w:rsidRPr="00BD22B3">
        <w:rPr>
          <w:color w:val="000000" w:themeColor="text1"/>
          <w:lang w:val="es-ES"/>
        </w:rPr>
        <w:t>e</w:t>
      </w:r>
      <w:r w:rsidR="00602920" w:rsidRPr="00BD22B3">
        <w:rPr>
          <w:color w:val="000000" w:themeColor="text1"/>
          <w:lang w:val="es-ES"/>
        </w:rPr>
        <w:t>nte caso</w:t>
      </w:r>
      <w:r w:rsidR="000C63D6" w:rsidRPr="00BD22B3">
        <w:rPr>
          <w:color w:val="000000" w:themeColor="text1"/>
          <w:lang w:val="es-ES"/>
        </w:rPr>
        <w:t>,</w:t>
      </w:r>
      <w:r w:rsidR="00602920" w:rsidRPr="00BD22B3">
        <w:rPr>
          <w:color w:val="000000" w:themeColor="text1"/>
          <w:lang w:val="es-ES"/>
        </w:rPr>
        <w:t xml:space="preserve"> se desprende que la finalidad </w:t>
      </w:r>
      <w:r w:rsidR="000C63D6" w:rsidRPr="00BD22B3">
        <w:rPr>
          <w:color w:val="000000" w:themeColor="text1"/>
          <w:lang w:val="es-ES"/>
        </w:rPr>
        <w:t xml:space="preserve">de los disparos efectuados por los agentes estatales </w:t>
      </w:r>
      <w:r w:rsidR="00602920" w:rsidRPr="00BD22B3">
        <w:rPr>
          <w:color w:val="000000" w:themeColor="text1"/>
          <w:lang w:val="es-ES"/>
        </w:rPr>
        <w:t>fue ocasi</w:t>
      </w:r>
      <w:r w:rsidR="000C63D6" w:rsidRPr="00BD22B3">
        <w:rPr>
          <w:color w:val="000000" w:themeColor="text1"/>
          <w:lang w:val="es-ES"/>
        </w:rPr>
        <w:t>o</w:t>
      </w:r>
      <w:r w:rsidR="00602920" w:rsidRPr="00BD22B3">
        <w:rPr>
          <w:color w:val="000000" w:themeColor="text1"/>
          <w:lang w:val="es-ES"/>
        </w:rPr>
        <w:t xml:space="preserve">nar </w:t>
      </w:r>
      <w:r w:rsidR="000C63D6" w:rsidRPr="00BD22B3">
        <w:rPr>
          <w:color w:val="000000" w:themeColor="text1"/>
          <w:lang w:val="es-ES"/>
        </w:rPr>
        <w:t xml:space="preserve">intencionalmente </w:t>
      </w:r>
      <w:r w:rsidR="00602920" w:rsidRPr="00BD22B3">
        <w:rPr>
          <w:color w:val="000000" w:themeColor="text1"/>
          <w:lang w:val="es-ES"/>
        </w:rPr>
        <w:t>un daño</w:t>
      </w:r>
      <w:r w:rsidR="000C63D6" w:rsidRPr="00BD22B3">
        <w:rPr>
          <w:color w:val="000000" w:themeColor="text1"/>
          <w:lang w:val="es-ES"/>
        </w:rPr>
        <w:t>,</w:t>
      </w:r>
      <w:r w:rsidR="00602920" w:rsidRPr="00BD22B3">
        <w:rPr>
          <w:color w:val="000000" w:themeColor="text1"/>
          <w:lang w:val="es-ES"/>
        </w:rPr>
        <w:t xml:space="preserve"> tanto a la furgoneta como, sobre todo, a las personas que iban en su interior. Así,</w:t>
      </w:r>
      <w:r w:rsidR="000C63D6" w:rsidRPr="00BD22B3">
        <w:rPr>
          <w:color w:val="000000" w:themeColor="text1"/>
          <w:lang w:val="es-ES"/>
        </w:rPr>
        <w:t xml:space="preserve"> </w:t>
      </w:r>
      <w:r w:rsidR="00307BC8" w:rsidRPr="00BD22B3">
        <w:rPr>
          <w:color w:val="000000" w:themeColor="text1"/>
          <w:lang w:val="es-ES"/>
        </w:rPr>
        <w:t>si bien</w:t>
      </w:r>
      <w:r w:rsidR="00602920" w:rsidRPr="00BD22B3">
        <w:rPr>
          <w:color w:val="000000" w:themeColor="text1"/>
          <w:lang w:val="es-ES"/>
        </w:rPr>
        <w:t xml:space="preserve"> </w:t>
      </w:r>
      <w:r w:rsidR="000C63D6" w:rsidRPr="00BD22B3">
        <w:rPr>
          <w:color w:val="000000" w:themeColor="text1"/>
          <w:lang w:val="es-ES"/>
        </w:rPr>
        <w:t xml:space="preserve">el Estado </w:t>
      </w:r>
      <w:r w:rsidR="00307BC8" w:rsidRPr="00BD22B3">
        <w:rPr>
          <w:color w:val="000000" w:themeColor="text1"/>
          <w:lang w:val="es-ES"/>
        </w:rPr>
        <w:t>alegó</w:t>
      </w:r>
      <w:r w:rsidR="000C63D6" w:rsidRPr="00BD22B3">
        <w:rPr>
          <w:color w:val="000000" w:themeColor="text1"/>
          <w:lang w:val="es-ES"/>
        </w:rPr>
        <w:t xml:space="preserve"> que </w:t>
      </w:r>
      <w:r w:rsidR="00307BC8" w:rsidRPr="00BD22B3">
        <w:rPr>
          <w:color w:val="000000" w:themeColor="text1"/>
          <w:lang w:val="es-ES"/>
        </w:rPr>
        <w:t>sus agentes</w:t>
      </w:r>
      <w:r w:rsidR="000C63D6" w:rsidRPr="00BD22B3">
        <w:rPr>
          <w:color w:val="000000" w:themeColor="text1"/>
          <w:lang w:val="es-ES"/>
        </w:rPr>
        <w:t xml:space="preserve"> desconocían que la furgoneta transportaba personas</w:t>
      </w:r>
      <w:r w:rsidR="00602920" w:rsidRPr="00BD22B3">
        <w:rPr>
          <w:color w:val="000000" w:themeColor="text1"/>
          <w:lang w:val="es-ES"/>
        </w:rPr>
        <w:t xml:space="preserve">, lo cierto es que no </w:t>
      </w:r>
      <w:r w:rsidR="000C63D6" w:rsidRPr="00BD22B3">
        <w:rPr>
          <w:color w:val="000000" w:themeColor="text1"/>
          <w:lang w:val="es-ES"/>
        </w:rPr>
        <w:t>existió</w:t>
      </w:r>
      <w:r w:rsidR="00602920" w:rsidRPr="00BD22B3">
        <w:rPr>
          <w:color w:val="000000" w:themeColor="text1"/>
          <w:lang w:val="es-ES"/>
        </w:rPr>
        <w:t xml:space="preserve"> ningún elemento que pudiera descartar con certeza la presencia de personas</w:t>
      </w:r>
      <w:r w:rsidR="00307BC8" w:rsidRPr="00BD22B3">
        <w:rPr>
          <w:color w:val="000000" w:themeColor="text1"/>
          <w:lang w:val="es-ES"/>
        </w:rPr>
        <w:t xml:space="preserve"> al interior del vehículo</w:t>
      </w:r>
      <w:r w:rsidR="00602920" w:rsidRPr="00BD22B3">
        <w:rPr>
          <w:color w:val="000000" w:themeColor="text1"/>
          <w:lang w:val="es-ES"/>
        </w:rPr>
        <w:t xml:space="preserve">, máxime cuando la </w:t>
      </w:r>
      <w:r w:rsidR="000C63D6" w:rsidRPr="00BD22B3">
        <w:rPr>
          <w:color w:val="000000" w:themeColor="text1"/>
          <w:lang w:val="es-ES"/>
        </w:rPr>
        <w:t>referida furgoneta</w:t>
      </w:r>
      <w:r w:rsidR="00602920" w:rsidRPr="00BD22B3">
        <w:rPr>
          <w:color w:val="000000" w:themeColor="text1"/>
          <w:lang w:val="es-ES"/>
        </w:rPr>
        <w:t xml:space="preserve"> transitaba </w:t>
      </w:r>
      <w:r w:rsidR="000C63D6" w:rsidRPr="00BD22B3">
        <w:rPr>
          <w:color w:val="000000" w:themeColor="text1"/>
          <w:lang w:val="es-ES"/>
        </w:rPr>
        <w:t>por</w:t>
      </w:r>
      <w:r w:rsidR="00602920" w:rsidRPr="00BD22B3">
        <w:rPr>
          <w:color w:val="000000" w:themeColor="text1"/>
          <w:lang w:val="es-ES"/>
        </w:rPr>
        <w:t xml:space="preserve"> una zona transfronteriza</w:t>
      </w:r>
      <w:r w:rsidR="0004752E" w:rsidRPr="00BD22B3">
        <w:rPr>
          <w:rFonts w:cs="Arial"/>
          <w:color w:val="000000" w:themeColor="text1"/>
          <w:lang w:val="es-ES"/>
        </w:rPr>
        <w:t xml:space="preserve"> la cual, por su propia naturaleza, se caracteriza por la posible presencia de personas migrantes o en necesidad de protección internacional</w:t>
      </w:r>
      <w:r w:rsidR="000B014F" w:rsidRPr="00BD22B3">
        <w:rPr>
          <w:color w:val="000000" w:themeColor="text1"/>
          <w:lang w:val="es-ES"/>
        </w:rPr>
        <w:t>. Aunado a ello se une el hecho de que, una vez</w:t>
      </w:r>
      <w:r w:rsidR="00501AAB">
        <w:rPr>
          <w:color w:val="000000" w:themeColor="text1"/>
          <w:lang w:val="es-ES"/>
        </w:rPr>
        <w:t xml:space="preserve"> que</w:t>
      </w:r>
      <w:r w:rsidR="000B014F" w:rsidRPr="00BD22B3">
        <w:rPr>
          <w:color w:val="000000" w:themeColor="text1"/>
          <w:lang w:val="es-ES"/>
        </w:rPr>
        <w:t xml:space="preserve"> la furgoneta </w:t>
      </w:r>
      <w:r w:rsidR="0004752E" w:rsidRPr="00BD22B3">
        <w:rPr>
          <w:color w:val="000000" w:themeColor="text1"/>
          <w:lang w:val="es-ES"/>
        </w:rPr>
        <w:t>atravesó</w:t>
      </w:r>
      <w:r w:rsidR="000B014F" w:rsidRPr="00BD22B3">
        <w:rPr>
          <w:color w:val="000000" w:themeColor="text1"/>
          <w:lang w:val="es-ES"/>
        </w:rPr>
        <w:t xml:space="preserve"> el primer retén, </w:t>
      </w:r>
      <w:r w:rsidR="0004752E" w:rsidRPr="00BD22B3">
        <w:rPr>
          <w:color w:val="000000" w:themeColor="text1"/>
          <w:lang w:val="es-ES"/>
        </w:rPr>
        <w:t>agentes estatales procedieron</w:t>
      </w:r>
      <w:r w:rsidR="000B014F" w:rsidRPr="00BD22B3">
        <w:rPr>
          <w:color w:val="000000" w:themeColor="text1"/>
          <w:lang w:val="es-ES"/>
        </w:rPr>
        <w:t xml:space="preserve"> a avisar a los miembros del seg</w:t>
      </w:r>
      <w:r w:rsidR="007469BE">
        <w:rPr>
          <w:color w:val="000000" w:themeColor="text1"/>
          <w:lang w:val="es-ES"/>
        </w:rPr>
        <w:t>u</w:t>
      </w:r>
      <w:r w:rsidR="000B014F" w:rsidRPr="00BD22B3">
        <w:rPr>
          <w:color w:val="000000" w:themeColor="text1"/>
          <w:lang w:val="es-ES"/>
        </w:rPr>
        <w:t>ndo retén</w:t>
      </w:r>
      <w:r w:rsidR="0004752E" w:rsidRPr="00BD22B3">
        <w:rPr>
          <w:color w:val="000000" w:themeColor="text1"/>
          <w:lang w:val="es-ES"/>
        </w:rPr>
        <w:t xml:space="preserve"> de la inminente llegada de la furgoneta</w:t>
      </w:r>
      <w:r w:rsidR="007469BE">
        <w:rPr>
          <w:color w:val="000000" w:themeColor="text1"/>
          <w:lang w:val="es-ES"/>
        </w:rPr>
        <w:t xml:space="preserve"> y, </w:t>
      </w:r>
      <w:r w:rsidR="0004752E" w:rsidRPr="00BD22B3">
        <w:rPr>
          <w:color w:val="000000" w:themeColor="text1"/>
          <w:lang w:val="es-ES"/>
        </w:rPr>
        <w:t xml:space="preserve">cuando </w:t>
      </w:r>
      <w:r w:rsidR="007469BE">
        <w:rPr>
          <w:color w:val="000000" w:themeColor="text1"/>
          <w:lang w:val="es-ES"/>
        </w:rPr>
        <w:t>esta</w:t>
      </w:r>
      <w:r w:rsidR="0004752E" w:rsidRPr="00BD22B3">
        <w:rPr>
          <w:color w:val="000000" w:themeColor="text1"/>
          <w:lang w:val="es-ES"/>
        </w:rPr>
        <w:t xml:space="preserve"> atravesó a gran velocidad este </w:t>
      </w:r>
      <w:r w:rsidR="00A5782A" w:rsidRPr="00BD22B3">
        <w:rPr>
          <w:color w:val="000000" w:themeColor="text1"/>
          <w:lang w:val="es-ES"/>
        </w:rPr>
        <w:t>segundo</w:t>
      </w:r>
      <w:r w:rsidR="0004752E" w:rsidRPr="00BD22B3">
        <w:rPr>
          <w:color w:val="000000" w:themeColor="text1"/>
          <w:lang w:val="es-ES"/>
        </w:rPr>
        <w:t xml:space="preserve"> retén, los agentes estatales efectuaron al menos ocho </w:t>
      </w:r>
      <w:r w:rsidR="00307BC8" w:rsidRPr="00BD22B3">
        <w:rPr>
          <w:color w:val="000000" w:themeColor="text1"/>
          <w:lang w:val="es-ES"/>
        </w:rPr>
        <w:t xml:space="preserve">disparos </w:t>
      </w:r>
      <w:r w:rsidR="0004752E" w:rsidRPr="00BD22B3">
        <w:rPr>
          <w:color w:val="000000" w:themeColor="text1"/>
          <w:lang w:val="es-ES"/>
        </w:rPr>
        <w:t>contra la misma</w:t>
      </w:r>
      <w:r w:rsidR="000B014F" w:rsidRPr="00BD22B3">
        <w:rPr>
          <w:color w:val="000000" w:themeColor="text1"/>
          <w:lang w:val="es-ES"/>
        </w:rPr>
        <w:t xml:space="preserve">. </w:t>
      </w:r>
      <w:r w:rsidR="00602920" w:rsidRPr="00BD22B3">
        <w:rPr>
          <w:color w:val="000000" w:themeColor="text1"/>
        </w:rPr>
        <w:t>Cabe entender</w:t>
      </w:r>
      <w:r w:rsidR="000B014F" w:rsidRPr="00BD22B3">
        <w:rPr>
          <w:color w:val="000000" w:themeColor="text1"/>
        </w:rPr>
        <w:t xml:space="preserve">, por tanto, </w:t>
      </w:r>
      <w:r w:rsidR="00602920" w:rsidRPr="00BD22B3">
        <w:rPr>
          <w:color w:val="000000" w:themeColor="text1"/>
        </w:rPr>
        <w:t xml:space="preserve">que la finalidad de la acción estatal no </w:t>
      </w:r>
      <w:r w:rsidR="000B014F" w:rsidRPr="00BD22B3">
        <w:rPr>
          <w:color w:val="000000" w:themeColor="text1"/>
        </w:rPr>
        <w:t>fue</w:t>
      </w:r>
      <w:r w:rsidR="00602920" w:rsidRPr="00BD22B3">
        <w:rPr>
          <w:color w:val="000000" w:themeColor="text1"/>
        </w:rPr>
        <w:t xml:space="preserve"> legítima, puesto que </w:t>
      </w:r>
      <w:r w:rsidR="00865240" w:rsidRPr="00BD22B3">
        <w:rPr>
          <w:color w:val="000000" w:themeColor="text1"/>
        </w:rPr>
        <w:t xml:space="preserve">tuvo como resultado la muerte del señor Pedro Bacilio Roche Azaña, las graves heridas causadas a su hermano Patricio Fernando, así como las heridas ocasionadas a cuatro personas más. </w:t>
      </w:r>
    </w:p>
    <w:p w14:paraId="1A1B28C7" w14:textId="77777777" w:rsidR="00EE016D" w:rsidRPr="00F955EE" w:rsidRDefault="00EE016D" w:rsidP="000D38AF">
      <w:pPr>
        <w:pStyle w:val="Default"/>
        <w:jc w:val="both"/>
        <w:rPr>
          <w:i/>
          <w:iCs/>
          <w:sz w:val="20"/>
          <w:szCs w:val="20"/>
          <w:highlight w:val="cyan"/>
          <w:lang w:val="es-ES"/>
        </w:rPr>
      </w:pPr>
    </w:p>
    <w:p w14:paraId="09CBCD45" w14:textId="1D4311D5" w:rsidR="00361ECD" w:rsidRPr="00F955EE" w:rsidRDefault="00AC4467" w:rsidP="004F0770">
      <w:pPr>
        <w:numPr>
          <w:ilvl w:val="0"/>
          <w:numId w:val="4"/>
        </w:numPr>
        <w:tabs>
          <w:tab w:val="left" w:pos="567"/>
          <w:tab w:val="num" w:pos="1569"/>
          <w:tab w:val="num" w:pos="12305"/>
        </w:tabs>
        <w:ind w:left="0" w:firstLine="0"/>
        <w:rPr>
          <w:lang w:val="es-ES"/>
        </w:rPr>
      </w:pPr>
      <w:r w:rsidRPr="00F955EE">
        <w:rPr>
          <w:lang w:val="es-ES"/>
        </w:rPr>
        <w:t xml:space="preserve">En lo que respecta a la </w:t>
      </w:r>
      <w:r w:rsidRPr="00F955EE">
        <w:rPr>
          <w:i/>
          <w:iCs/>
          <w:lang w:val="es-ES"/>
        </w:rPr>
        <w:t>necesidad</w:t>
      </w:r>
      <w:r w:rsidRPr="00F955EE">
        <w:rPr>
          <w:lang w:val="es-ES"/>
        </w:rPr>
        <w:t xml:space="preserve"> de los medios utilizados, la Corte nota en primer lugar que, una ve</w:t>
      </w:r>
      <w:r w:rsidR="002C5240" w:rsidRPr="00F955EE">
        <w:rPr>
          <w:lang w:val="es-ES"/>
        </w:rPr>
        <w:t>z</w:t>
      </w:r>
      <w:r w:rsidR="00501AAB">
        <w:rPr>
          <w:lang w:val="es-ES"/>
        </w:rPr>
        <w:t xml:space="preserve"> que</w:t>
      </w:r>
      <w:r w:rsidRPr="00F955EE">
        <w:rPr>
          <w:lang w:val="es-ES"/>
        </w:rPr>
        <w:t xml:space="preserve"> la furgoneta decid</w:t>
      </w:r>
      <w:r w:rsidR="009F332C" w:rsidRPr="00F955EE">
        <w:rPr>
          <w:lang w:val="es-ES"/>
        </w:rPr>
        <w:t>ió</w:t>
      </w:r>
      <w:r w:rsidRPr="00F955EE">
        <w:rPr>
          <w:lang w:val="es-ES"/>
        </w:rPr>
        <w:t xml:space="preserve"> no </w:t>
      </w:r>
      <w:r w:rsidR="00C6010A" w:rsidRPr="00F955EE">
        <w:rPr>
          <w:lang w:val="es-ES"/>
        </w:rPr>
        <w:t xml:space="preserve">detenerse </w:t>
      </w:r>
      <w:r w:rsidRPr="00F955EE">
        <w:rPr>
          <w:lang w:val="es-ES"/>
        </w:rPr>
        <w:t>en el primer retén, los agentes del Estado proced</w:t>
      </w:r>
      <w:r w:rsidR="00F83FB5" w:rsidRPr="00F955EE">
        <w:rPr>
          <w:lang w:val="es-ES"/>
        </w:rPr>
        <w:t>ieron</w:t>
      </w:r>
      <w:r w:rsidRPr="00F955EE">
        <w:rPr>
          <w:lang w:val="es-ES"/>
        </w:rPr>
        <w:t xml:space="preserve"> a señalizar los siguientes retenes con el objetivo de detener la referida furgoneta</w:t>
      </w:r>
      <w:r w:rsidRPr="00F955EE">
        <w:rPr>
          <w:rStyle w:val="Refdenotaalpie"/>
          <w:lang w:val="es-ES"/>
        </w:rPr>
        <w:footnoteReference w:id="79"/>
      </w:r>
      <w:r w:rsidRPr="00F955EE">
        <w:rPr>
          <w:lang w:val="es-ES"/>
        </w:rPr>
        <w:t>. A estos efectos, los agentes decid</w:t>
      </w:r>
      <w:r w:rsidR="00F83FB5" w:rsidRPr="00F955EE">
        <w:rPr>
          <w:lang w:val="es-ES"/>
        </w:rPr>
        <w:t>ieron</w:t>
      </w:r>
      <w:r w:rsidRPr="00F955EE">
        <w:rPr>
          <w:lang w:val="es-ES"/>
        </w:rPr>
        <w:t xml:space="preserve"> colocar una patrulla en la parte frontal para evitar el paso</w:t>
      </w:r>
      <w:r w:rsidRPr="00F955EE">
        <w:rPr>
          <w:rStyle w:val="Refdenotaalpie"/>
          <w:lang w:val="es-ES"/>
        </w:rPr>
        <w:footnoteReference w:id="80"/>
      </w:r>
      <w:r w:rsidRPr="00F955EE">
        <w:rPr>
          <w:lang w:val="es-ES"/>
        </w:rPr>
        <w:t xml:space="preserve"> y se colocaron a los costados</w:t>
      </w:r>
      <w:r w:rsidRPr="00F955EE">
        <w:rPr>
          <w:rStyle w:val="Refdenotaalpie"/>
          <w:lang w:val="es-ES"/>
        </w:rPr>
        <w:footnoteReference w:id="81"/>
      </w:r>
      <w:r w:rsidRPr="00F955EE">
        <w:rPr>
          <w:lang w:val="es-ES"/>
        </w:rPr>
        <w:t xml:space="preserve"> y en el centro de la carretera</w:t>
      </w:r>
      <w:r w:rsidRPr="00F955EE">
        <w:rPr>
          <w:rStyle w:val="Refdenotaalpie"/>
          <w:rFonts w:eastAsia="MS Mincho"/>
          <w:lang w:val="es-ES"/>
        </w:rPr>
        <w:footnoteReference w:id="82"/>
      </w:r>
      <w:r w:rsidRPr="00F955EE">
        <w:rPr>
          <w:lang w:val="es-ES"/>
        </w:rPr>
        <w:t xml:space="preserve"> a la espera de que la furgoneta atravesara el correspondiente retén. Cuando la furgoneta se aproximaba a los retenes, los agentes, quienes portaban chaleco, silbato y lámpara vial</w:t>
      </w:r>
      <w:r w:rsidRPr="00F955EE">
        <w:rPr>
          <w:rStyle w:val="Refdenotaalpie"/>
          <w:lang w:val="es-ES"/>
        </w:rPr>
        <w:footnoteReference w:id="83"/>
      </w:r>
      <w:r w:rsidR="007469BE">
        <w:rPr>
          <w:lang w:val="es-ES"/>
        </w:rPr>
        <w:t xml:space="preserve">, </w:t>
      </w:r>
      <w:r w:rsidRPr="00F955EE">
        <w:rPr>
          <w:lang w:val="es-ES"/>
        </w:rPr>
        <w:t>utilizaron sus señales luminosas y sonoras con el objetivo de que la furgoneta parase</w:t>
      </w:r>
      <w:r w:rsidRPr="00F955EE">
        <w:rPr>
          <w:rStyle w:val="Refdenotaalpie"/>
          <w:lang w:val="es-ES"/>
        </w:rPr>
        <w:footnoteReference w:id="84"/>
      </w:r>
      <w:r w:rsidRPr="00F955EE">
        <w:rPr>
          <w:lang w:val="es-ES"/>
        </w:rPr>
        <w:t>.</w:t>
      </w:r>
      <w:r w:rsidR="00AD7197" w:rsidRPr="00F955EE">
        <w:rPr>
          <w:lang w:val="es-ES"/>
        </w:rPr>
        <w:t xml:space="preserve"> </w:t>
      </w:r>
      <w:r w:rsidR="000136C2" w:rsidRPr="00F955EE">
        <w:rPr>
          <w:lang w:val="es-ES"/>
        </w:rPr>
        <w:t xml:space="preserve">En el presente caso quedó acreditado que, </w:t>
      </w:r>
      <w:r w:rsidR="006C464E" w:rsidRPr="00F955EE">
        <w:rPr>
          <w:lang w:val="es-ES"/>
        </w:rPr>
        <w:t>ante la negativa por parte del conductor de</w:t>
      </w:r>
      <w:r w:rsidR="000136C2" w:rsidRPr="00F955EE">
        <w:rPr>
          <w:lang w:val="es-ES"/>
        </w:rPr>
        <w:t xml:space="preserve"> </w:t>
      </w:r>
      <w:r w:rsidR="006C464E" w:rsidRPr="00F955EE">
        <w:rPr>
          <w:lang w:val="es-ES"/>
        </w:rPr>
        <w:t>la furgoneta</w:t>
      </w:r>
      <w:r w:rsidR="000136C2" w:rsidRPr="00F955EE">
        <w:rPr>
          <w:lang w:val="es-ES"/>
        </w:rPr>
        <w:t xml:space="preserve"> </w:t>
      </w:r>
      <w:r w:rsidR="006C464E" w:rsidRPr="00F955EE">
        <w:rPr>
          <w:lang w:val="es-ES"/>
        </w:rPr>
        <w:t>de atender</w:t>
      </w:r>
      <w:r w:rsidR="000136C2" w:rsidRPr="00F955EE">
        <w:rPr>
          <w:lang w:val="es-ES"/>
        </w:rPr>
        <w:t xml:space="preserve"> </w:t>
      </w:r>
      <w:r w:rsidR="006C464E" w:rsidRPr="00F955EE">
        <w:rPr>
          <w:lang w:val="es-ES"/>
        </w:rPr>
        <w:t>a las reiteradas señales realizadas por los agentes estatales se procedió</w:t>
      </w:r>
      <w:r w:rsidR="000C1B84">
        <w:rPr>
          <w:lang w:val="es-ES"/>
        </w:rPr>
        <w:t xml:space="preserve"> seguidamente</w:t>
      </w:r>
      <w:r w:rsidR="006C464E" w:rsidRPr="00F955EE">
        <w:rPr>
          <w:lang w:val="es-ES"/>
        </w:rPr>
        <w:t xml:space="preserve"> a efectuar varios disparos contra la misma</w:t>
      </w:r>
      <w:r w:rsidR="000136C2" w:rsidRPr="00F955EE">
        <w:rPr>
          <w:lang w:val="es-ES"/>
        </w:rPr>
        <w:t xml:space="preserve">. </w:t>
      </w:r>
    </w:p>
    <w:p w14:paraId="7978C344" w14:textId="77777777" w:rsidR="006C464E" w:rsidRPr="00F955EE" w:rsidRDefault="006C464E" w:rsidP="006C464E">
      <w:pPr>
        <w:widowControl/>
        <w:tabs>
          <w:tab w:val="left" w:pos="567"/>
          <w:tab w:val="left" w:pos="2128"/>
          <w:tab w:val="num" w:pos="12305"/>
        </w:tabs>
        <w:adjustRightInd/>
        <w:contextualSpacing/>
        <w:textAlignment w:val="auto"/>
        <w:rPr>
          <w:lang w:val="es-ES"/>
        </w:rPr>
      </w:pPr>
    </w:p>
    <w:p w14:paraId="76D9A9A7" w14:textId="714EF49E" w:rsidR="00361ECD" w:rsidRPr="00F955EE" w:rsidRDefault="007469BE" w:rsidP="004F0770">
      <w:pPr>
        <w:numPr>
          <w:ilvl w:val="0"/>
          <w:numId w:val="4"/>
        </w:numPr>
        <w:tabs>
          <w:tab w:val="left" w:pos="567"/>
          <w:tab w:val="num" w:pos="1569"/>
          <w:tab w:val="num" w:pos="12305"/>
        </w:tabs>
        <w:ind w:left="0" w:firstLine="0"/>
        <w:rPr>
          <w:spacing w:val="-2"/>
          <w:lang w:val="es-ES"/>
        </w:rPr>
      </w:pPr>
      <w:r>
        <w:rPr>
          <w:lang w:val="es-ES"/>
        </w:rPr>
        <w:t>L</w:t>
      </w:r>
      <w:r w:rsidR="006C464E" w:rsidRPr="00F955EE">
        <w:rPr>
          <w:lang w:val="es-ES"/>
        </w:rPr>
        <w:t xml:space="preserve">a Corte </w:t>
      </w:r>
      <w:r w:rsidR="00B01B86">
        <w:rPr>
          <w:lang w:val="es-ES"/>
        </w:rPr>
        <w:t>resalta</w:t>
      </w:r>
      <w:r w:rsidR="006C464E" w:rsidRPr="00F955EE">
        <w:rPr>
          <w:lang w:val="es-ES"/>
        </w:rPr>
        <w:t xml:space="preserve"> que, </w:t>
      </w:r>
      <w:r w:rsidR="00361ECD" w:rsidRPr="00F955EE">
        <w:rPr>
          <w:spacing w:val="-2"/>
          <w:lang w:val="es-ES"/>
        </w:rPr>
        <w:t>más allá de la</w:t>
      </w:r>
      <w:r w:rsidR="006C464E" w:rsidRPr="00F955EE">
        <w:rPr>
          <w:spacing w:val="-2"/>
          <w:lang w:val="es-ES"/>
        </w:rPr>
        <w:t>s</w:t>
      </w:r>
      <w:r w:rsidR="00361ECD" w:rsidRPr="00F955EE">
        <w:rPr>
          <w:spacing w:val="-2"/>
          <w:lang w:val="es-ES"/>
        </w:rPr>
        <w:t xml:space="preserve"> </w:t>
      </w:r>
      <w:r w:rsidR="006C464E" w:rsidRPr="00F955EE">
        <w:rPr>
          <w:spacing w:val="-2"/>
          <w:lang w:val="es-ES"/>
        </w:rPr>
        <w:t>señales luminosas y sonoras realizadas por los agentes estatales,</w:t>
      </w:r>
      <w:r w:rsidR="00B23B67" w:rsidRPr="00F955EE">
        <w:rPr>
          <w:spacing w:val="-2"/>
          <w:lang w:val="es-ES"/>
        </w:rPr>
        <w:t xml:space="preserve"> </w:t>
      </w:r>
      <w:r w:rsidR="002D1B13" w:rsidRPr="00F955EE">
        <w:rPr>
          <w:spacing w:val="-2"/>
          <w:lang w:val="es-ES"/>
        </w:rPr>
        <w:t>el</w:t>
      </w:r>
      <w:r w:rsidR="00361ECD" w:rsidRPr="00F955EE">
        <w:rPr>
          <w:spacing w:val="-2"/>
          <w:lang w:val="es-ES"/>
        </w:rPr>
        <w:t xml:space="preserve"> Estado no demostró que </w:t>
      </w:r>
      <w:r w:rsidR="002C5240" w:rsidRPr="00F955EE">
        <w:rPr>
          <w:spacing w:val="-2"/>
          <w:lang w:val="es-ES"/>
        </w:rPr>
        <w:t xml:space="preserve">el uso de las armas de fuego era necesario </w:t>
      </w:r>
      <w:r w:rsidR="00361ECD" w:rsidRPr="00F955EE">
        <w:rPr>
          <w:spacing w:val="-2"/>
          <w:lang w:val="es-ES"/>
        </w:rPr>
        <w:t>para alcanzar el objetivo perseguido.</w:t>
      </w:r>
      <w:r w:rsidR="006C464E" w:rsidRPr="00F955EE">
        <w:rPr>
          <w:spacing w:val="-2"/>
          <w:lang w:val="es-ES"/>
        </w:rPr>
        <w:t xml:space="preserve"> </w:t>
      </w:r>
      <w:r>
        <w:rPr>
          <w:spacing w:val="-2"/>
          <w:lang w:val="es-ES"/>
        </w:rPr>
        <w:t>El Tribunal</w:t>
      </w:r>
      <w:r w:rsidRPr="00F955EE">
        <w:rPr>
          <w:spacing w:val="-2"/>
          <w:lang w:val="es-ES"/>
        </w:rPr>
        <w:t xml:space="preserve"> recuerda que no se puede concluir que quede acreditado el requisito de “absoluta necesidad” para utilizar la fuerza contra personas, cuando estas no representan un peligro directo, “inclusive cuando la falta del uso de la fuerza resultare en la pérdida de la oportunidad de captura”</w:t>
      </w:r>
      <w:r w:rsidRPr="00F955EE">
        <w:rPr>
          <w:spacing w:val="-2"/>
          <w:vertAlign w:val="superscript"/>
          <w:lang w:val="es-ES"/>
        </w:rPr>
        <w:footnoteReference w:id="85"/>
      </w:r>
      <w:r w:rsidRPr="00F955EE">
        <w:rPr>
          <w:spacing w:val="-2"/>
          <w:lang w:val="es-ES"/>
        </w:rPr>
        <w:t xml:space="preserve">. </w:t>
      </w:r>
      <w:r w:rsidR="005978D1" w:rsidRPr="00F955EE">
        <w:rPr>
          <w:lang w:val="es-ES"/>
        </w:rPr>
        <w:t>Así, a pesar de que se colocara una patrulla para obstaculizar el paso del vehículo, lo cierto es que la furgoneta atravesó los retenes a gran velocidad</w:t>
      </w:r>
      <w:r>
        <w:rPr>
          <w:lang w:val="es-ES"/>
        </w:rPr>
        <w:t xml:space="preserve"> sin que dichos mecanismos de obstaculización causaran algún efecto</w:t>
      </w:r>
      <w:r w:rsidR="005978D1" w:rsidRPr="00F955EE">
        <w:rPr>
          <w:lang w:val="es-ES"/>
        </w:rPr>
        <w:t xml:space="preserve">. </w:t>
      </w:r>
      <w:r w:rsidR="00E13872" w:rsidRPr="00F955EE">
        <w:rPr>
          <w:lang w:val="es-ES"/>
        </w:rPr>
        <w:t>La Corte nota, además, que a</w:t>
      </w:r>
      <w:r w:rsidR="005978D1" w:rsidRPr="00F955EE">
        <w:rPr>
          <w:lang w:val="es-ES"/>
        </w:rPr>
        <w:t xml:space="preserve"> la deficiente colocación de elementos para impedir el paso </w:t>
      </w:r>
      <w:r w:rsidR="00E13872" w:rsidRPr="00F955EE">
        <w:rPr>
          <w:lang w:val="es-ES"/>
        </w:rPr>
        <w:t xml:space="preserve">de la furgoneta, </w:t>
      </w:r>
      <w:r w:rsidR="005978D1" w:rsidRPr="00F955EE">
        <w:rPr>
          <w:lang w:val="es-ES"/>
        </w:rPr>
        <w:t>se un</w:t>
      </w:r>
      <w:r w:rsidR="00E13872" w:rsidRPr="00F955EE">
        <w:rPr>
          <w:lang w:val="es-ES"/>
        </w:rPr>
        <w:t>ió</w:t>
      </w:r>
      <w:r w:rsidR="005978D1" w:rsidRPr="00F955EE">
        <w:rPr>
          <w:lang w:val="es-ES"/>
        </w:rPr>
        <w:t xml:space="preserve"> la ausencia </w:t>
      </w:r>
      <w:r w:rsidR="00E13872" w:rsidRPr="00F955EE">
        <w:rPr>
          <w:lang w:val="es-ES"/>
        </w:rPr>
        <w:t>del uso</w:t>
      </w:r>
      <w:r w:rsidR="005978D1" w:rsidRPr="00F955EE">
        <w:rPr>
          <w:lang w:val="es-ES"/>
        </w:rPr>
        <w:t xml:space="preserve"> de otros medios menos </w:t>
      </w:r>
      <w:r w:rsidR="00E13872" w:rsidRPr="00F955EE">
        <w:rPr>
          <w:lang w:val="es-ES"/>
        </w:rPr>
        <w:t>lesivos</w:t>
      </w:r>
      <w:r w:rsidR="00CE7D34" w:rsidRPr="00F955EE">
        <w:rPr>
          <w:lang w:val="es-ES"/>
        </w:rPr>
        <w:t>,</w:t>
      </w:r>
      <w:r w:rsidR="005978D1" w:rsidRPr="00F955EE">
        <w:rPr>
          <w:lang w:val="es-ES"/>
        </w:rPr>
        <w:t xml:space="preserve"> como lo podrían ser los r</w:t>
      </w:r>
      <w:r w:rsidR="00361ECD" w:rsidRPr="00F955EE">
        <w:rPr>
          <w:lang w:val="es-ES"/>
        </w:rPr>
        <w:t>eductores de velocidad</w:t>
      </w:r>
      <w:r w:rsidR="005978D1" w:rsidRPr="00F955EE">
        <w:rPr>
          <w:lang w:val="es-ES"/>
        </w:rPr>
        <w:t xml:space="preserve"> o </w:t>
      </w:r>
      <w:r w:rsidR="00361ECD" w:rsidRPr="00F955EE">
        <w:rPr>
          <w:lang w:val="es-ES"/>
        </w:rPr>
        <w:t>poncha llantas</w:t>
      </w:r>
      <w:r w:rsidR="005978D1" w:rsidRPr="00F955EE">
        <w:rPr>
          <w:lang w:val="es-ES"/>
        </w:rPr>
        <w:t>.</w:t>
      </w:r>
      <w:r w:rsidR="00E13872" w:rsidRPr="00F955EE">
        <w:rPr>
          <w:spacing w:val="-2"/>
          <w:lang w:val="es-ES"/>
        </w:rPr>
        <w:t xml:space="preserve"> En </w:t>
      </w:r>
      <w:r w:rsidR="00810A02">
        <w:rPr>
          <w:spacing w:val="-2"/>
          <w:lang w:val="es-ES"/>
        </w:rPr>
        <w:t>suma</w:t>
      </w:r>
      <w:r w:rsidR="00E13872" w:rsidRPr="00F955EE">
        <w:rPr>
          <w:spacing w:val="-2"/>
          <w:lang w:val="es-ES"/>
        </w:rPr>
        <w:t>,</w:t>
      </w:r>
      <w:r w:rsidR="00E13872" w:rsidRPr="00F955EE">
        <w:rPr>
          <w:lang w:val="es-ES"/>
        </w:rPr>
        <w:t xml:space="preserve"> la Corte observa que en el presente caso se pudieron emplear medios menos lesivos para </w:t>
      </w:r>
      <w:r>
        <w:rPr>
          <w:lang w:val="es-ES"/>
        </w:rPr>
        <w:t xml:space="preserve">detener </w:t>
      </w:r>
      <w:r>
        <w:rPr>
          <w:lang w:val="es-ES"/>
        </w:rPr>
        <w:lastRenderedPageBreak/>
        <w:t>la furgoneta</w:t>
      </w:r>
      <w:r w:rsidR="00CE7D34" w:rsidRPr="00F955EE">
        <w:rPr>
          <w:lang w:val="es-ES"/>
        </w:rPr>
        <w:t xml:space="preserve"> y, por tanto, no se cumplió con el requisito de necesidad</w:t>
      </w:r>
      <w:r w:rsidR="00E13872" w:rsidRPr="00F955EE">
        <w:rPr>
          <w:lang w:val="es-ES"/>
        </w:rPr>
        <w:t>.</w:t>
      </w:r>
    </w:p>
    <w:p w14:paraId="5C592B16" w14:textId="77777777" w:rsidR="004277D4" w:rsidRPr="00F955EE" w:rsidRDefault="004277D4" w:rsidP="004277D4">
      <w:pPr>
        <w:autoSpaceDE w:val="0"/>
        <w:autoSpaceDN w:val="0"/>
        <w:contextualSpacing/>
        <w:rPr>
          <w:highlight w:val="cyan"/>
          <w:lang w:val="es-ES"/>
        </w:rPr>
      </w:pPr>
    </w:p>
    <w:p w14:paraId="69E7083F" w14:textId="5A552AF0" w:rsidR="0090622E" w:rsidRPr="00F955EE" w:rsidRDefault="00777E67" w:rsidP="004F0770">
      <w:pPr>
        <w:numPr>
          <w:ilvl w:val="0"/>
          <w:numId w:val="4"/>
        </w:numPr>
        <w:tabs>
          <w:tab w:val="left" w:pos="567"/>
          <w:tab w:val="num" w:pos="1569"/>
          <w:tab w:val="num" w:pos="12305"/>
        </w:tabs>
        <w:ind w:left="0" w:firstLine="0"/>
        <w:rPr>
          <w:lang w:val="es-ES"/>
        </w:rPr>
      </w:pPr>
      <w:r w:rsidRPr="00F955EE">
        <w:rPr>
          <w:rFonts w:cs="Cambria"/>
          <w:bCs/>
          <w:color w:val="000000"/>
          <w:lang w:val="es-ES"/>
        </w:rPr>
        <w:t xml:space="preserve">En cuanto al análisis de </w:t>
      </w:r>
      <w:r w:rsidRPr="00F955EE">
        <w:rPr>
          <w:rFonts w:cs="Cambria"/>
          <w:bCs/>
          <w:i/>
          <w:iCs/>
          <w:color w:val="000000"/>
          <w:lang w:val="es-ES"/>
        </w:rPr>
        <w:t>proporcionalidad</w:t>
      </w:r>
      <w:r w:rsidRPr="00F955EE">
        <w:rPr>
          <w:rFonts w:cs="Cambria"/>
          <w:bCs/>
          <w:color w:val="000000"/>
          <w:lang w:val="es-ES"/>
        </w:rPr>
        <w:t xml:space="preserve">, </w:t>
      </w:r>
      <w:r w:rsidR="004277D4" w:rsidRPr="00F955EE">
        <w:rPr>
          <w:rFonts w:cs="Cambria"/>
          <w:bCs/>
          <w:color w:val="000000"/>
          <w:lang w:val="es-ES"/>
        </w:rPr>
        <w:t xml:space="preserve">la Corte ya ha considerado que durante el </w:t>
      </w:r>
      <w:r w:rsidR="004277D4" w:rsidRPr="00F955EE">
        <w:rPr>
          <w:lang w:val="es-ES"/>
        </w:rPr>
        <w:t>desarrollo</w:t>
      </w:r>
      <w:r w:rsidR="004277D4" w:rsidRPr="00F955EE">
        <w:rPr>
          <w:rFonts w:cs="Cambria"/>
          <w:bCs/>
          <w:color w:val="000000"/>
          <w:lang w:val="es-ES"/>
        </w:rPr>
        <w:t xml:space="preserve"> de un evento de despliegue de la autoridad, los agentes estatales, en la medida de lo posible, deben realizar una evaluación de la situación y un plan de acción previo a su intervención</w:t>
      </w:r>
      <w:r w:rsidRPr="00F955EE">
        <w:rPr>
          <w:rStyle w:val="Refdenotaalpie"/>
          <w:rFonts w:eastAsia="MS Mincho" w:cs="Cambria"/>
          <w:color w:val="000000"/>
          <w:lang w:val="es-ES"/>
        </w:rPr>
        <w:footnoteReference w:id="86"/>
      </w:r>
      <w:r w:rsidRPr="00F955EE">
        <w:rPr>
          <w:rFonts w:cs="Cambria"/>
          <w:bCs/>
          <w:color w:val="000000"/>
          <w:lang w:val="es-ES"/>
        </w:rPr>
        <w:t xml:space="preserve">, todo ello con el objetivo de </w:t>
      </w:r>
      <w:r w:rsidRPr="00F955EE">
        <w:rPr>
          <w:lang w:val="es-ES"/>
        </w:rPr>
        <w:t>minimizar el uso de la fuerza y las fatalidades que se pudieran presentar</w:t>
      </w:r>
      <w:r w:rsidRPr="00F955EE">
        <w:rPr>
          <w:rStyle w:val="Refdenotaalpie"/>
          <w:lang w:val="es-ES"/>
        </w:rPr>
        <w:footnoteReference w:id="87"/>
      </w:r>
      <w:r w:rsidRPr="00F955EE">
        <w:rPr>
          <w:lang w:val="es-ES"/>
        </w:rPr>
        <w:t xml:space="preserve">. </w:t>
      </w:r>
    </w:p>
    <w:p w14:paraId="3DF914DE" w14:textId="77777777" w:rsidR="0090622E" w:rsidRPr="00F955EE" w:rsidRDefault="0090622E" w:rsidP="0090622E">
      <w:pPr>
        <w:tabs>
          <w:tab w:val="left" w:pos="567"/>
        </w:tabs>
        <w:rPr>
          <w:lang w:val="es-ES"/>
        </w:rPr>
      </w:pPr>
    </w:p>
    <w:p w14:paraId="457B8AE3" w14:textId="3F7DFDC6" w:rsidR="00E42AE1" w:rsidRPr="004D7A0D" w:rsidRDefault="00770DE0" w:rsidP="004F0770">
      <w:pPr>
        <w:numPr>
          <w:ilvl w:val="0"/>
          <w:numId w:val="4"/>
        </w:numPr>
        <w:tabs>
          <w:tab w:val="left" w:pos="567"/>
          <w:tab w:val="num" w:pos="1569"/>
          <w:tab w:val="num" w:pos="12305"/>
        </w:tabs>
        <w:ind w:left="0" w:firstLine="0"/>
        <w:rPr>
          <w:lang w:val="es-ES"/>
        </w:rPr>
      </w:pPr>
      <w:r w:rsidRPr="00F955EE">
        <w:rPr>
          <w:rFonts w:cs="Arial"/>
          <w:lang w:val="es-ES"/>
        </w:rPr>
        <w:t>En primer</w:t>
      </w:r>
      <w:r w:rsidR="00B20167" w:rsidRPr="00F955EE">
        <w:rPr>
          <w:rFonts w:cs="Arial"/>
          <w:lang w:val="es-ES"/>
        </w:rPr>
        <w:t xml:space="preserve"> término</w:t>
      </w:r>
      <w:r w:rsidRPr="00F955EE">
        <w:rPr>
          <w:rFonts w:cs="Arial"/>
          <w:lang w:val="es-ES"/>
        </w:rPr>
        <w:t xml:space="preserve">, la Corte </w:t>
      </w:r>
      <w:r w:rsidR="000C63D6">
        <w:rPr>
          <w:rFonts w:cs="Arial"/>
          <w:lang w:val="es-ES"/>
        </w:rPr>
        <w:t>reitera</w:t>
      </w:r>
      <w:r w:rsidRPr="00F955EE">
        <w:rPr>
          <w:rFonts w:cs="Arial"/>
          <w:lang w:val="es-ES"/>
        </w:rPr>
        <w:t xml:space="preserve"> que</w:t>
      </w:r>
      <w:r w:rsidR="00B20167" w:rsidRPr="00F955EE">
        <w:rPr>
          <w:rFonts w:cs="Arial"/>
          <w:lang w:val="es-ES"/>
        </w:rPr>
        <w:t xml:space="preserve"> el lugar</w:t>
      </w:r>
      <w:r w:rsidR="001825D4" w:rsidRPr="00F955EE">
        <w:rPr>
          <w:rFonts w:cs="Arial"/>
          <w:lang w:val="es-ES"/>
        </w:rPr>
        <w:t xml:space="preserve"> en el que </w:t>
      </w:r>
      <w:r w:rsidRPr="00F955EE">
        <w:rPr>
          <w:rFonts w:cs="Arial"/>
          <w:lang w:val="es-ES"/>
        </w:rPr>
        <w:t xml:space="preserve">se estableció el dispositivo de control era </w:t>
      </w:r>
      <w:r w:rsidR="001825D4" w:rsidRPr="00F955EE">
        <w:rPr>
          <w:rFonts w:cs="Arial"/>
          <w:lang w:val="es-ES"/>
        </w:rPr>
        <w:t xml:space="preserve">próximo a </w:t>
      </w:r>
      <w:r w:rsidRPr="00F955EE">
        <w:rPr>
          <w:rFonts w:cs="Arial"/>
          <w:lang w:val="es-ES"/>
        </w:rPr>
        <w:t>una zona fronteriza</w:t>
      </w:r>
      <w:r w:rsidR="001825D4" w:rsidRPr="00F955EE">
        <w:rPr>
          <w:rFonts w:cs="Arial"/>
          <w:lang w:val="es-ES"/>
        </w:rPr>
        <w:t xml:space="preserve"> internacional</w:t>
      </w:r>
      <w:r w:rsidR="00BD22B3" w:rsidRPr="00BD22B3">
        <w:rPr>
          <w:rFonts w:cs="Arial"/>
          <w:lang w:val="es-ES"/>
        </w:rPr>
        <w:t xml:space="preserve">. </w:t>
      </w:r>
      <w:r w:rsidR="004A7EB1" w:rsidRPr="00F955EE">
        <w:rPr>
          <w:rFonts w:cs="Arial"/>
          <w:lang w:val="es-ES"/>
        </w:rPr>
        <w:t>En este sentido, es importante recalcar que el respeto a los derechos humanos debe constituir el núcleo de todas las medidas de protección de fronteras</w:t>
      </w:r>
      <w:r w:rsidR="004A7EB1" w:rsidRPr="00F955EE">
        <w:rPr>
          <w:rStyle w:val="Refdenotaalpie"/>
          <w:rFonts w:cs="Arial"/>
          <w:lang w:val="es-ES"/>
        </w:rPr>
        <w:footnoteReference w:id="88"/>
      </w:r>
      <w:r w:rsidR="004A7EB1" w:rsidRPr="00F955EE">
        <w:rPr>
          <w:rFonts w:cs="Arial"/>
          <w:lang w:val="es-ES"/>
        </w:rPr>
        <w:t xml:space="preserve">. </w:t>
      </w:r>
      <w:r w:rsidRPr="00F955EE">
        <w:rPr>
          <w:rFonts w:cs="Arial"/>
          <w:lang w:val="es-ES"/>
        </w:rPr>
        <w:t xml:space="preserve">Por tanto, el Tribunal </w:t>
      </w:r>
      <w:r w:rsidR="00E42AE1" w:rsidRPr="00F955EE">
        <w:rPr>
          <w:rFonts w:cs="Arial"/>
          <w:lang w:val="es-ES"/>
        </w:rPr>
        <w:t xml:space="preserve">considera </w:t>
      </w:r>
      <w:r w:rsidR="001825D4" w:rsidRPr="00F955EE">
        <w:rPr>
          <w:rFonts w:cs="Arial"/>
          <w:lang w:val="es-ES"/>
        </w:rPr>
        <w:t xml:space="preserve">que </w:t>
      </w:r>
      <w:r w:rsidRPr="00F955EE">
        <w:rPr>
          <w:rFonts w:cs="Arial"/>
          <w:lang w:val="es-ES"/>
        </w:rPr>
        <w:t xml:space="preserve">los agentes estatales </w:t>
      </w:r>
      <w:r w:rsidR="001825D4" w:rsidRPr="00F955EE">
        <w:rPr>
          <w:rFonts w:cs="Arial"/>
          <w:lang w:val="es-ES"/>
        </w:rPr>
        <w:t xml:space="preserve">debieron tener en cuenta estas circunstancias al emplear el uso de la fuerza, sobre todo en razón de que no se podía visualizar hacia adentro de la furgoneta para descartar la posibilidad real de que transportara personas y que éstas estuvieran en una situación de particular riesgo. </w:t>
      </w:r>
    </w:p>
    <w:p w14:paraId="3F5EE3A3" w14:textId="2A6385F8" w:rsidR="004D7A0D" w:rsidRPr="004D7A0D" w:rsidRDefault="004D7A0D" w:rsidP="004D7A0D">
      <w:pPr>
        <w:tabs>
          <w:tab w:val="left" w:pos="567"/>
          <w:tab w:val="num" w:pos="12305"/>
        </w:tabs>
        <w:rPr>
          <w:lang w:val="es-ES"/>
        </w:rPr>
      </w:pPr>
    </w:p>
    <w:p w14:paraId="43ECBF58" w14:textId="2C0590F9" w:rsidR="007E2F88" w:rsidRPr="004D7A0D" w:rsidRDefault="00770DE0" w:rsidP="004F0770">
      <w:pPr>
        <w:numPr>
          <w:ilvl w:val="0"/>
          <w:numId w:val="4"/>
        </w:numPr>
        <w:tabs>
          <w:tab w:val="left" w:pos="567"/>
          <w:tab w:val="num" w:pos="1569"/>
          <w:tab w:val="num" w:pos="12305"/>
        </w:tabs>
        <w:ind w:left="0" w:firstLine="0"/>
        <w:rPr>
          <w:rFonts w:cs="AmnestyTradeGothic"/>
          <w:lang w:val="es-ES"/>
        </w:rPr>
      </w:pPr>
      <w:r w:rsidRPr="007E2F88">
        <w:rPr>
          <w:lang w:val="es-ES"/>
        </w:rPr>
        <w:t>Por otro lado</w:t>
      </w:r>
      <w:r w:rsidR="00FE2F0F" w:rsidRPr="007E2F88">
        <w:rPr>
          <w:lang w:val="es-ES"/>
        </w:rPr>
        <w:t xml:space="preserve">, la Corte </w:t>
      </w:r>
      <w:r w:rsidR="00E42AE1" w:rsidRPr="007E2F88">
        <w:rPr>
          <w:lang w:val="es-ES"/>
        </w:rPr>
        <w:t xml:space="preserve">estima </w:t>
      </w:r>
      <w:r w:rsidR="00FE2F0F" w:rsidRPr="007E2F88">
        <w:rPr>
          <w:lang w:val="es-ES"/>
        </w:rPr>
        <w:t xml:space="preserve">necesario analizar la forma, dirección y tipo de arma con la que se realizaron </w:t>
      </w:r>
      <w:r w:rsidR="000C1B84">
        <w:rPr>
          <w:lang w:val="es-ES"/>
        </w:rPr>
        <w:t>los</w:t>
      </w:r>
      <w:r w:rsidR="00FE2F0F" w:rsidRPr="007E2F88">
        <w:rPr>
          <w:lang w:val="es-ES"/>
        </w:rPr>
        <w:t xml:space="preserve"> disparos.</w:t>
      </w:r>
      <w:r w:rsidR="00F61512" w:rsidRPr="007E2F88">
        <w:rPr>
          <w:lang w:val="es-ES"/>
        </w:rPr>
        <w:t xml:space="preserve"> </w:t>
      </w:r>
      <w:r w:rsidR="000C1B84">
        <w:rPr>
          <w:lang w:val="es-ES"/>
        </w:rPr>
        <w:t>La</w:t>
      </w:r>
      <w:r w:rsidR="002A018D" w:rsidRPr="007E2F88">
        <w:rPr>
          <w:lang w:val="es-ES"/>
        </w:rPr>
        <w:t xml:space="preserve"> Corte </w:t>
      </w:r>
      <w:r w:rsidR="008D1DB7" w:rsidRPr="007E2F88">
        <w:rPr>
          <w:lang w:val="es-ES"/>
        </w:rPr>
        <w:t>advierte</w:t>
      </w:r>
      <w:r w:rsidR="000C1B84">
        <w:rPr>
          <w:lang w:val="es-ES"/>
        </w:rPr>
        <w:t>,</w:t>
      </w:r>
      <w:r w:rsidR="002A018D" w:rsidRPr="007E2F88">
        <w:rPr>
          <w:lang w:val="es-ES"/>
        </w:rPr>
        <w:t xml:space="preserve"> </w:t>
      </w:r>
      <w:r w:rsidR="000C1B84">
        <w:rPr>
          <w:lang w:val="es-ES"/>
        </w:rPr>
        <w:t xml:space="preserve">con carácter previo, </w:t>
      </w:r>
      <w:r w:rsidR="00AE6505" w:rsidRPr="007E2F88">
        <w:rPr>
          <w:lang w:val="es-ES"/>
        </w:rPr>
        <w:t xml:space="preserve">que </w:t>
      </w:r>
      <w:r w:rsidR="00AE6505" w:rsidRPr="00BD22B3">
        <w:rPr>
          <w:lang w:val="es-ES"/>
        </w:rPr>
        <w:t>los retenes estatales estaban conformados por miembros de la Policía Nacional, militares y al menos un policía voluntario</w:t>
      </w:r>
      <w:r w:rsidR="00AE6505" w:rsidRPr="00BD22B3">
        <w:rPr>
          <w:rStyle w:val="Refdenotaalpie"/>
          <w:rFonts w:eastAsia="Batang"/>
          <w:lang w:val="es-ES" w:eastAsia="en-US"/>
        </w:rPr>
        <w:footnoteReference w:id="89"/>
      </w:r>
      <w:r w:rsidR="00AE6505" w:rsidRPr="00BD22B3">
        <w:rPr>
          <w:lang w:val="es-ES"/>
        </w:rPr>
        <w:t xml:space="preserve">. </w:t>
      </w:r>
      <w:r w:rsidR="00D47A00" w:rsidRPr="00BD22B3">
        <w:rPr>
          <w:lang w:val="es-ES" w:eastAsia="es-ES_tradnl"/>
        </w:rPr>
        <w:t xml:space="preserve">En este sentido, el Tribunal recuerda que en el </w:t>
      </w:r>
      <w:r w:rsidR="00D47A00" w:rsidRPr="00BD22B3">
        <w:rPr>
          <w:rFonts w:ascii="Verdana,Italic" w:hAnsi="Verdana,Italic"/>
          <w:i/>
          <w:iCs/>
          <w:lang w:val="es-ES" w:eastAsia="es-ES_tradnl"/>
        </w:rPr>
        <w:t>Caso Montero Aranguren y otros Vs. Venezuela</w:t>
      </w:r>
      <w:r w:rsidR="00D47A00" w:rsidRPr="00BD22B3">
        <w:rPr>
          <w:rFonts w:ascii="Verdana,Italic" w:hAnsi="Verdana,Italic"/>
          <w:lang w:val="es-ES" w:eastAsia="es-ES_tradnl"/>
        </w:rPr>
        <w:t xml:space="preserve"> </w:t>
      </w:r>
      <w:r w:rsidR="00D47A00" w:rsidRPr="00BD22B3">
        <w:rPr>
          <w:lang w:val="es-ES" w:eastAsia="es-ES_tradnl"/>
        </w:rPr>
        <w:t>estableció que</w:t>
      </w:r>
      <w:r w:rsidR="007E2F88" w:rsidRPr="00BD22B3">
        <w:rPr>
          <w:lang w:val="es-ES" w:eastAsia="es-ES_tradnl"/>
        </w:rPr>
        <w:t>,</w:t>
      </w:r>
      <w:r w:rsidR="00D47A00" w:rsidRPr="00BD22B3">
        <w:rPr>
          <w:lang w:val="es-ES" w:eastAsia="es-ES_tradnl"/>
        </w:rPr>
        <w:t xml:space="preserve"> si bien los Estados partes de la Convención podrían desplegar a las fuerzas armadas para desempeñar tareas ajenas a las propiamente relacionadas con conflictos armados, dicho empleo debe limitarse al máximo y responder a criterios de estricta excepcionalidad para enfrentar situaciones de criminalidad o violencia interna, dado que el entrenamiento que </w:t>
      </w:r>
      <w:r w:rsidR="00D47A00" w:rsidRPr="00BD22B3">
        <w:rPr>
          <w:lang w:val="es-ES"/>
        </w:rPr>
        <w:t>reciben</w:t>
      </w:r>
      <w:r w:rsidR="00D47A00" w:rsidRPr="00BD22B3">
        <w:rPr>
          <w:lang w:val="es-ES" w:eastAsia="es-ES_tradnl"/>
        </w:rPr>
        <w:t xml:space="preserve"> las fuerzas militares está dirigido a derrotar al enemigo y no a la protección y control de civiles, entrenamiento que es propio de los entes policiales</w:t>
      </w:r>
      <w:r w:rsidR="00D47A00" w:rsidRPr="00BD22B3">
        <w:rPr>
          <w:rFonts w:cs="AmnestyTradeGothic"/>
          <w:vertAlign w:val="superscript"/>
        </w:rPr>
        <w:footnoteReference w:id="90"/>
      </w:r>
      <w:r w:rsidR="00D47A00" w:rsidRPr="00BD22B3">
        <w:rPr>
          <w:lang w:val="es-ES" w:eastAsia="es-ES_tradnl"/>
        </w:rPr>
        <w:t xml:space="preserve">. </w:t>
      </w:r>
    </w:p>
    <w:p w14:paraId="62DD809E" w14:textId="77777777" w:rsidR="004D7A0D" w:rsidRPr="00BD22B3" w:rsidRDefault="004D7A0D" w:rsidP="004D7A0D">
      <w:pPr>
        <w:tabs>
          <w:tab w:val="left" w:pos="567"/>
        </w:tabs>
        <w:rPr>
          <w:rFonts w:cs="AmnestyTradeGothic"/>
          <w:lang w:val="es-ES"/>
        </w:rPr>
      </w:pPr>
    </w:p>
    <w:p w14:paraId="4CEE977C" w14:textId="362FBBAA" w:rsidR="003A55B9" w:rsidRPr="007E2F88" w:rsidRDefault="000C1B84" w:rsidP="004F0770">
      <w:pPr>
        <w:numPr>
          <w:ilvl w:val="0"/>
          <w:numId w:val="4"/>
        </w:numPr>
        <w:tabs>
          <w:tab w:val="left" w:pos="567"/>
          <w:tab w:val="num" w:pos="1569"/>
          <w:tab w:val="num" w:pos="12305"/>
        </w:tabs>
        <w:autoSpaceDE w:val="0"/>
        <w:autoSpaceDN w:val="0"/>
        <w:spacing w:before="120" w:after="120"/>
        <w:ind w:left="0" w:firstLine="0"/>
        <w:rPr>
          <w:rFonts w:cs="AmnestyTradeGothic"/>
          <w:b/>
          <w:bCs/>
          <w:lang w:val="es-ES"/>
        </w:rPr>
      </w:pPr>
      <w:r>
        <w:rPr>
          <w:lang w:val="es-ES"/>
        </w:rPr>
        <w:t>El Tribunal recuerda</w:t>
      </w:r>
      <w:r w:rsidR="000B014F" w:rsidRPr="007E2F88">
        <w:rPr>
          <w:lang w:val="es-ES"/>
        </w:rPr>
        <w:t xml:space="preserve"> que,</w:t>
      </w:r>
      <w:r w:rsidR="002A018D" w:rsidRPr="007E2F88">
        <w:rPr>
          <w:lang w:val="es-ES"/>
        </w:rPr>
        <w:t xml:space="preserve"> una vez constatado que la furgoneta no iba a atender a las señales de alto realizadas por los agentes estatales, estos procedieron a realizar disparos contra la </w:t>
      </w:r>
      <w:r w:rsidR="009F332C" w:rsidRPr="007E2F88">
        <w:rPr>
          <w:lang w:val="es-ES"/>
        </w:rPr>
        <w:t>misma</w:t>
      </w:r>
      <w:r w:rsidR="002A018D" w:rsidRPr="007E2F88">
        <w:rPr>
          <w:lang w:val="es-ES"/>
        </w:rPr>
        <w:t xml:space="preserve">. </w:t>
      </w:r>
      <w:r>
        <w:rPr>
          <w:lang w:val="es-ES"/>
        </w:rPr>
        <w:t>La Corte</w:t>
      </w:r>
      <w:r w:rsidR="002A018D" w:rsidRPr="007E2F88">
        <w:rPr>
          <w:lang w:val="es-ES"/>
        </w:rPr>
        <w:t xml:space="preserve"> destaca que dichos disparos se realizaron de manera descoordinada, sin que existiera una orden expresa superior para ello</w:t>
      </w:r>
      <w:r w:rsidR="002A018D" w:rsidRPr="00F955EE">
        <w:rPr>
          <w:rStyle w:val="Refdenotaalpie"/>
          <w:lang w:val="es-ES"/>
        </w:rPr>
        <w:footnoteReference w:id="91"/>
      </w:r>
      <w:r w:rsidR="002A018D" w:rsidRPr="007E2F88">
        <w:rPr>
          <w:lang w:val="es-ES"/>
        </w:rPr>
        <w:t>.</w:t>
      </w:r>
      <w:r w:rsidR="007E2F88">
        <w:rPr>
          <w:rFonts w:cs="AmnestyTradeGothic"/>
          <w:b/>
          <w:bCs/>
          <w:lang w:val="es-ES"/>
        </w:rPr>
        <w:t xml:space="preserve"> </w:t>
      </w:r>
      <w:r w:rsidR="004A7EB1" w:rsidRPr="007E2F88">
        <w:rPr>
          <w:lang w:val="es-ES"/>
        </w:rPr>
        <w:t>Asimismo</w:t>
      </w:r>
      <w:r w:rsidR="002A018D" w:rsidRPr="007E2F88">
        <w:rPr>
          <w:lang w:val="es-ES"/>
        </w:rPr>
        <w:t>, s</w:t>
      </w:r>
      <w:r w:rsidR="00DA7B8E" w:rsidRPr="007E2F88">
        <w:rPr>
          <w:lang w:val="es-ES"/>
        </w:rPr>
        <w:t xml:space="preserve">egún lo declarado por los agentes estatales que efectuaron los disparos, estos se realizaron bien “al aire”, bien hacia las llantas. No obstante, </w:t>
      </w:r>
      <w:r w:rsidR="00DA7B8E" w:rsidRPr="007E2F88">
        <w:rPr>
          <w:lang w:val="es-ES"/>
        </w:rPr>
        <w:lastRenderedPageBreak/>
        <w:t xml:space="preserve">dichas declaraciones chocan de plano con la prueba obrante en el expediente. </w:t>
      </w:r>
      <w:r w:rsidR="009F332C" w:rsidRPr="007E2F88">
        <w:rPr>
          <w:lang w:val="es-ES"/>
        </w:rPr>
        <w:t xml:space="preserve">Así, </w:t>
      </w:r>
      <w:r w:rsidR="009F332C" w:rsidRPr="007E2F88">
        <w:rPr>
          <w:rFonts w:eastAsia="Batang"/>
          <w:lang w:val="es-ES" w:eastAsia="en-US"/>
        </w:rPr>
        <w:t>d</w:t>
      </w:r>
      <w:r w:rsidR="00DA7B8E" w:rsidRPr="007E2F88">
        <w:rPr>
          <w:rFonts w:eastAsia="Batang"/>
          <w:lang w:val="es-ES" w:eastAsia="en-US"/>
        </w:rPr>
        <w:t xml:space="preserve">e la inspección ocular del vehículo se puede observar que el mismo presentaba seis orificios de bala. </w:t>
      </w:r>
      <w:r w:rsidR="00DA7B8E" w:rsidRPr="007E2F88">
        <w:rPr>
          <w:lang w:val="es-ES"/>
        </w:rPr>
        <w:t xml:space="preserve">Un orificio de entrada se situó a una altura de “un metro treinta centímetros del borde superior” de la furgoneta; un segundo orificio en el costado izquierdo, a una altura de “un metro cuarenta y un centímetros del borde superior”; el tercer orificio en la parte superior trasera, a una altura de “un metro diez centímetros del borde del </w:t>
      </w:r>
      <w:r w:rsidR="00DA7B8E" w:rsidRPr="007E2F88">
        <w:rPr>
          <w:i/>
          <w:iCs/>
          <w:lang w:val="es-ES"/>
        </w:rPr>
        <w:t>bumper</w:t>
      </w:r>
      <w:r w:rsidR="00DA7B8E" w:rsidRPr="007E2F88">
        <w:rPr>
          <w:lang w:val="es-ES"/>
        </w:rPr>
        <w:t xml:space="preserve"> trasero”, un cuarto orificio en la rueda delantera derecha, un quinto orificio en la parte trasera, a “un metro de altura”, así como un sexto orificio ubicado “a un metro diez </w:t>
      </w:r>
      <w:r w:rsidR="002D1B13" w:rsidRPr="007E2F88">
        <w:rPr>
          <w:lang w:val="es-ES"/>
        </w:rPr>
        <w:t>centímetros</w:t>
      </w:r>
      <w:r w:rsidR="00DA7B8E" w:rsidRPr="007E2F88">
        <w:rPr>
          <w:lang w:val="es-ES"/>
        </w:rPr>
        <w:t xml:space="preserve"> [sobre] el primer orificio”</w:t>
      </w:r>
      <w:r w:rsidR="00DA7B8E" w:rsidRPr="00F955EE">
        <w:rPr>
          <w:rStyle w:val="Refdenotaalpie"/>
          <w:lang w:val="es-ES"/>
        </w:rPr>
        <w:footnoteReference w:id="92"/>
      </w:r>
      <w:r w:rsidR="00DA7B8E" w:rsidRPr="007E2F88">
        <w:rPr>
          <w:lang w:val="es-ES"/>
        </w:rPr>
        <w:t xml:space="preserve">. La Corte </w:t>
      </w:r>
      <w:r w:rsidR="001B78D5" w:rsidRPr="007E2F88">
        <w:rPr>
          <w:lang w:val="es-ES"/>
        </w:rPr>
        <w:t>subraya</w:t>
      </w:r>
      <w:r w:rsidR="00DA7B8E" w:rsidRPr="007E2F88">
        <w:rPr>
          <w:lang w:val="es-ES"/>
        </w:rPr>
        <w:t xml:space="preserve"> que los orificios que impactaron en la furgoneta, salvo uno de ellos, figuran en la parte superior de la misma</w:t>
      </w:r>
      <w:r w:rsidR="00203ECB" w:rsidRPr="007E2F88">
        <w:rPr>
          <w:lang w:val="es-ES"/>
        </w:rPr>
        <w:t>,</w:t>
      </w:r>
      <w:r w:rsidR="00920B4A" w:rsidRPr="007E2F88">
        <w:rPr>
          <w:lang w:val="es-ES"/>
        </w:rPr>
        <w:t xml:space="preserve"> por lo que los </w:t>
      </w:r>
      <w:r w:rsidR="00DA7B8E" w:rsidRPr="007E2F88">
        <w:rPr>
          <w:lang w:val="es-ES"/>
        </w:rPr>
        <w:t xml:space="preserve">disparos no </w:t>
      </w:r>
      <w:r w:rsidR="00196C6F">
        <w:rPr>
          <w:lang w:val="es-ES"/>
        </w:rPr>
        <w:t xml:space="preserve">iban dirigidos </w:t>
      </w:r>
      <w:r w:rsidR="00DA7B8E" w:rsidRPr="007E2F88">
        <w:rPr>
          <w:lang w:val="es-ES"/>
        </w:rPr>
        <w:t>a las llantas del vehículo</w:t>
      </w:r>
      <w:r w:rsidR="00DA7B8E" w:rsidRPr="00F955EE">
        <w:rPr>
          <w:rStyle w:val="Refdenotaalpie"/>
          <w:rFonts w:eastAsia="MS Mincho"/>
          <w:lang w:val="es-ES"/>
        </w:rPr>
        <w:footnoteReference w:id="93"/>
      </w:r>
      <w:r w:rsidR="00DA7B8E" w:rsidRPr="007E2F88">
        <w:rPr>
          <w:lang w:val="es-ES"/>
        </w:rPr>
        <w:t>.</w:t>
      </w:r>
      <w:r w:rsidR="00920B4A" w:rsidRPr="007E2F88">
        <w:rPr>
          <w:lang w:val="es-ES"/>
        </w:rPr>
        <w:t xml:space="preserve"> A lo anterior se añade lo señalado por dos personas que se encontraban en la parte delantera del vehículo, quienes presenciaron cómo algunos de los disparos se dirigieron directamente a la parte frontal de la furgoneta</w:t>
      </w:r>
      <w:r w:rsidR="00920B4A" w:rsidRPr="00F955EE">
        <w:rPr>
          <w:rStyle w:val="Refdenotaalpie"/>
          <w:rFonts w:eastAsia="Batang"/>
          <w:lang w:val="es-ES" w:eastAsia="en-US"/>
        </w:rPr>
        <w:footnoteReference w:id="94"/>
      </w:r>
      <w:r w:rsidR="00920B4A" w:rsidRPr="007E2F88">
        <w:rPr>
          <w:lang w:val="es-ES"/>
        </w:rPr>
        <w:t xml:space="preserve">. </w:t>
      </w:r>
    </w:p>
    <w:p w14:paraId="59A83A42" w14:textId="77777777" w:rsidR="003A55B9" w:rsidRPr="00F955EE" w:rsidRDefault="003A55B9" w:rsidP="00E52E88">
      <w:pPr>
        <w:tabs>
          <w:tab w:val="left" w:pos="567"/>
        </w:tabs>
        <w:rPr>
          <w:lang w:val="es-ES"/>
        </w:rPr>
      </w:pPr>
    </w:p>
    <w:p w14:paraId="0FADB6FC" w14:textId="77777777" w:rsidR="00CE7D34" w:rsidRPr="00F955EE" w:rsidRDefault="0090622E" w:rsidP="004F0770">
      <w:pPr>
        <w:numPr>
          <w:ilvl w:val="0"/>
          <w:numId w:val="4"/>
        </w:numPr>
        <w:tabs>
          <w:tab w:val="left" w:pos="567"/>
          <w:tab w:val="num" w:pos="1569"/>
          <w:tab w:val="num" w:pos="12305"/>
        </w:tabs>
        <w:ind w:left="0" w:firstLine="0"/>
        <w:rPr>
          <w:lang w:val="es-ES"/>
        </w:rPr>
      </w:pPr>
      <w:r w:rsidRPr="00F955EE">
        <w:rPr>
          <w:lang w:val="es-ES"/>
        </w:rPr>
        <w:t>Además</w:t>
      </w:r>
      <w:r w:rsidR="00FE2F0F" w:rsidRPr="00F955EE">
        <w:rPr>
          <w:lang w:val="es-ES"/>
        </w:rPr>
        <w:t xml:space="preserve">, </w:t>
      </w:r>
      <w:r w:rsidR="000667D5" w:rsidRPr="00F955EE">
        <w:rPr>
          <w:lang w:val="es-ES"/>
        </w:rPr>
        <w:t xml:space="preserve">llama también la atención de esta Corte </w:t>
      </w:r>
      <w:r w:rsidR="000667D5" w:rsidRPr="00F955EE">
        <w:rPr>
          <w:rFonts w:eastAsia="Batang"/>
          <w:lang w:val="es-ES" w:eastAsia="en-US"/>
        </w:rPr>
        <w:t xml:space="preserve">la observación realizada por </w:t>
      </w:r>
      <w:r w:rsidR="00203ECB" w:rsidRPr="00F955EE">
        <w:rPr>
          <w:rFonts w:eastAsia="Batang"/>
          <w:lang w:val="es-ES" w:eastAsia="en-US"/>
        </w:rPr>
        <w:t>el Juzgado Primero de Distrito del Crimen, el cual en el auto de segura y formal prisión de 6 de mayo de 1996 señaló</w:t>
      </w:r>
      <w:r w:rsidR="000667D5" w:rsidRPr="00F955EE">
        <w:rPr>
          <w:rFonts w:eastAsia="Batang"/>
          <w:lang w:val="es-ES" w:eastAsia="en-US"/>
        </w:rPr>
        <w:t xml:space="preserve"> que la furgoneta “presenta[ba] señales de habérsele pasado algún material de pintura (masilla) para evadir presunciones de culpabilidad de parte de los [en aquel momento] procesados”</w:t>
      </w:r>
      <w:r w:rsidR="000667D5" w:rsidRPr="00F955EE">
        <w:rPr>
          <w:rStyle w:val="Refdenotaalpie"/>
          <w:rFonts w:eastAsia="Batang"/>
          <w:lang w:val="es-ES" w:eastAsia="en-US"/>
        </w:rPr>
        <w:footnoteReference w:id="95"/>
      </w:r>
      <w:r w:rsidR="000667D5" w:rsidRPr="00F955EE">
        <w:rPr>
          <w:rFonts w:eastAsia="Batang"/>
          <w:lang w:val="es-ES" w:eastAsia="en-US"/>
        </w:rPr>
        <w:t>.</w:t>
      </w:r>
      <w:r w:rsidR="00FE2F0F" w:rsidRPr="00F955EE">
        <w:rPr>
          <w:lang w:val="es-ES"/>
        </w:rPr>
        <w:t xml:space="preserve"> </w:t>
      </w:r>
    </w:p>
    <w:p w14:paraId="06D63FFC" w14:textId="77777777" w:rsidR="00CE7D34" w:rsidRPr="00F955EE" w:rsidRDefault="00CE7D34" w:rsidP="00CE7D34">
      <w:pPr>
        <w:tabs>
          <w:tab w:val="left" w:pos="567"/>
        </w:tabs>
        <w:rPr>
          <w:lang w:val="es-ES"/>
        </w:rPr>
      </w:pPr>
    </w:p>
    <w:p w14:paraId="717AAC09" w14:textId="5F7D6567" w:rsidR="00C275D1" w:rsidRPr="00F955EE" w:rsidRDefault="002A018D" w:rsidP="004F0770">
      <w:pPr>
        <w:numPr>
          <w:ilvl w:val="0"/>
          <w:numId w:val="4"/>
        </w:numPr>
        <w:tabs>
          <w:tab w:val="left" w:pos="567"/>
          <w:tab w:val="num" w:pos="1569"/>
          <w:tab w:val="num" w:pos="12305"/>
        </w:tabs>
        <w:ind w:left="0" w:firstLine="0"/>
        <w:rPr>
          <w:lang w:val="es-ES"/>
        </w:rPr>
      </w:pPr>
      <w:r w:rsidRPr="00F955EE">
        <w:rPr>
          <w:lang w:val="es-ES"/>
        </w:rPr>
        <w:t>Por último</w:t>
      </w:r>
      <w:r w:rsidR="00920B4A" w:rsidRPr="00F955EE">
        <w:rPr>
          <w:lang w:val="es-ES"/>
        </w:rPr>
        <w:t xml:space="preserve">, </w:t>
      </w:r>
      <w:r w:rsidR="001B78D5" w:rsidRPr="00F955EE">
        <w:rPr>
          <w:lang w:val="es-ES"/>
        </w:rPr>
        <w:t xml:space="preserve">resulta </w:t>
      </w:r>
      <w:r w:rsidR="00CE7D34" w:rsidRPr="00F955EE">
        <w:rPr>
          <w:lang w:val="es-ES"/>
        </w:rPr>
        <w:t xml:space="preserve">asimismo </w:t>
      </w:r>
      <w:r w:rsidR="001B78D5" w:rsidRPr="00F955EE">
        <w:rPr>
          <w:lang w:val="es-ES"/>
        </w:rPr>
        <w:t>llamativo</w:t>
      </w:r>
      <w:r w:rsidR="00920B4A" w:rsidRPr="00F955EE">
        <w:rPr>
          <w:lang w:val="es-ES"/>
        </w:rPr>
        <w:t xml:space="preserve"> que las armas utilizadas fueron armas tipo AK, esto es, armas de guerra</w:t>
      </w:r>
      <w:r w:rsidR="00920B4A" w:rsidRPr="00F955EE">
        <w:rPr>
          <w:rStyle w:val="Refdenotaalpie"/>
          <w:lang w:val="es-ES"/>
        </w:rPr>
        <w:footnoteReference w:id="96"/>
      </w:r>
      <w:r w:rsidR="00920B4A" w:rsidRPr="00F955EE">
        <w:rPr>
          <w:lang w:val="es-ES"/>
        </w:rPr>
        <w:t>. De hecho, la muerte de Pedro Bacilio Roche Azaña se produjo como consecuencia de un proyectil de bala compatible con un proyectil de arma AK</w:t>
      </w:r>
      <w:r w:rsidR="00920B4A" w:rsidRPr="00F955EE">
        <w:rPr>
          <w:rStyle w:val="Refdenotaalpie"/>
          <w:lang w:val="es-ES"/>
        </w:rPr>
        <w:footnoteReference w:id="97"/>
      </w:r>
      <w:r w:rsidR="00920B4A" w:rsidRPr="00F955EE">
        <w:rPr>
          <w:lang w:val="es-ES"/>
        </w:rPr>
        <w:t xml:space="preserve">. </w:t>
      </w:r>
      <w:r w:rsidRPr="00F955EE">
        <w:rPr>
          <w:lang w:val="es-ES"/>
        </w:rPr>
        <w:t>La</w:t>
      </w:r>
      <w:r w:rsidR="00920B4A" w:rsidRPr="00F955EE">
        <w:rPr>
          <w:lang w:val="es-ES"/>
        </w:rPr>
        <w:t xml:space="preserve"> Corte </w:t>
      </w:r>
      <w:r w:rsidR="008D1DB7" w:rsidRPr="00F955EE">
        <w:rPr>
          <w:lang w:val="es-ES"/>
        </w:rPr>
        <w:t>considera</w:t>
      </w:r>
      <w:r w:rsidR="00920B4A" w:rsidRPr="00F955EE">
        <w:rPr>
          <w:lang w:val="es-ES"/>
        </w:rPr>
        <w:t xml:space="preserve"> que</w:t>
      </w:r>
      <w:r w:rsidR="007E2F88">
        <w:rPr>
          <w:lang w:val="es-ES"/>
        </w:rPr>
        <w:t xml:space="preserve">, </w:t>
      </w:r>
      <w:r w:rsidR="007E2F88" w:rsidRPr="00BD22B3">
        <w:rPr>
          <w:lang w:val="es-ES"/>
        </w:rPr>
        <w:t>en el</w:t>
      </w:r>
      <w:r w:rsidR="007E2F88" w:rsidRPr="007E2F88">
        <w:rPr>
          <w:b/>
          <w:bCs/>
          <w:lang w:val="es-ES"/>
        </w:rPr>
        <w:t xml:space="preserve"> </w:t>
      </w:r>
      <w:r w:rsidR="007E2F88" w:rsidRPr="00BD22B3">
        <w:rPr>
          <w:lang w:val="es-ES"/>
        </w:rPr>
        <w:t>presente caso,</w:t>
      </w:r>
      <w:r w:rsidR="00920B4A" w:rsidRPr="007E2F88">
        <w:rPr>
          <w:b/>
          <w:bCs/>
          <w:lang w:val="es-ES"/>
        </w:rPr>
        <w:t xml:space="preserve"> </w:t>
      </w:r>
      <w:r w:rsidR="00920B4A" w:rsidRPr="00F955EE">
        <w:rPr>
          <w:lang w:val="es-ES"/>
        </w:rPr>
        <w:t xml:space="preserve">el uso de este tipo de fusiles de asalto </w:t>
      </w:r>
      <w:r w:rsidR="007E2F88" w:rsidRPr="00BD22B3">
        <w:rPr>
          <w:lang w:val="es-ES"/>
        </w:rPr>
        <w:t>fue</w:t>
      </w:r>
      <w:r w:rsidR="00920B4A" w:rsidRPr="00F955EE">
        <w:rPr>
          <w:lang w:val="es-ES"/>
        </w:rPr>
        <w:t xml:space="preserve"> incompatible con la función de control alegad</w:t>
      </w:r>
      <w:r w:rsidR="0080704A">
        <w:rPr>
          <w:lang w:val="es-ES"/>
        </w:rPr>
        <w:t>a</w:t>
      </w:r>
      <w:r w:rsidR="00920B4A" w:rsidRPr="00F955EE">
        <w:rPr>
          <w:lang w:val="es-ES"/>
        </w:rPr>
        <w:t xml:space="preserve"> por el Estado</w:t>
      </w:r>
      <w:r w:rsidR="005C44DA" w:rsidRPr="00F955EE">
        <w:rPr>
          <w:lang w:val="es-ES"/>
        </w:rPr>
        <w:t xml:space="preserve">, </w:t>
      </w:r>
      <w:r w:rsidR="00FE2F0F" w:rsidRPr="00F955EE">
        <w:rPr>
          <w:lang w:val="es-ES"/>
        </w:rPr>
        <w:t>y ello</w:t>
      </w:r>
      <w:r w:rsidR="00203ECB" w:rsidRPr="00F955EE">
        <w:rPr>
          <w:lang w:val="es-ES"/>
        </w:rPr>
        <w:t xml:space="preserve"> por no cumplir con </w:t>
      </w:r>
      <w:r w:rsidRPr="00F955EE">
        <w:rPr>
          <w:lang w:val="es-ES"/>
        </w:rPr>
        <w:t>el</w:t>
      </w:r>
      <w:r w:rsidR="00203ECB" w:rsidRPr="00F955EE">
        <w:rPr>
          <w:lang w:val="es-ES"/>
        </w:rPr>
        <w:t xml:space="preserve"> criterio de proporcionalidad.</w:t>
      </w:r>
      <w:r w:rsidR="00C275D1" w:rsidRPr="00F955EE">
        <w:rPr>
          <w:rFonts w:cs="Arial"/>
          <w:lang w:val="es-ES"/>
        </w:rPr>
        <w:t xml:space="preserve"> A lo anterior se añade el hecho de que</w:t>
      </w:r>
      <w:r w:rsidR="007A4EF8">
        <w:rPr>
          <w:rFonts w:cs="Arial"/>
          <w:lang w:val="es-ES"/>
        </w:rPr>
        <w:t>,</w:t>
      </w:r>
      <w:r w:rsidR="00C275D1" w:rsidRPr="00F955EE">
        <w:rPr>
          <w:rFonts w:cs="Arial"/>
          <w:lang w:val="es-ES"/>
        </w:rPr>
        <w:t xml:space="preserve"> en el presente caso</w:t>
      </w:r>
      <w:r w:rsidR="007A4EF8">
        <w:rPr>
          <w:rFonts w:cs="Arial"/>
          <w:lang w:val="es-ES"/>
        </w:rPr>
        <w:t>,</w:t>
      </w:r>
      <w:r w:rsidR="00D12B9C" w:rsidRPr="00F955EE">
        <w:rPr>
          <w:rFonts w:cs="Arial"/>
          <w:lang w:val="es-ES"/>
        </w:rPr>
        <w:t xml:space="preserve"> </w:t>
      </w:r>
      <w:r w:rsidR="005C44DA" w:rsidRPr="00F955EE">
        <w:rPr>
          <w:rFonts w:cs="Arial"/>
          <w:lang w:val="es-ES"/>
        </w:rPr>
        <w:t>se desprende del acervo probatorio que</w:t>
      </w:r>
      <w:r w:rsidR="00C275D1" w:rsidRPr="00F955EE">
        <w:rPr>
          <w:rFonts w:cs="Arial"/>
          <w:lang w:val="es-ES"/>
        </w:rPr>
        <w:t xml:space="preserve"> hubo una falta de planeación, </w:t>
      </w:r>
      <w:r w:rsidR="00C275D1" w:rsidRPr="00F955EE">
        <w:rPr>
          <w:lang w:val="es-ES"/>
        </w:rPr>
        <w:t>capacitación</w:t>
      </w:r>
      <w:r w:rsidR="00C275D1" w:rsidRPr="00F955EE">
        <w:rPr>
          <w:rFonts w:cs="Arial"/>
          <w:lang w:val="es-ES"/>
        </w:rPr>
        <w:t xml:space="preserve"> </w:t>
      </w:r>
      <w:r w:rsidR="009C1174" w:rsidRPr="00F955EE">
        <w:rPr>
          <w:rFonts w:cs="Arial"/>
          <w:lang w:val="es-ES"/>
        </w:rPr>
        <w:t>-y, sobre todo, una capacitación acorde para enfrentar una situación de infracción administrativa, como lo sería la eventual infracción aduanera del presente caso</w:t>
      </w:r>
      <w:r w:rsidR="009C1174" w:rsidRPr="00F955EE">
        <w:rPr>
          <w:rStyle w:val="Refdenotaalpie"/>
          <w:lang w:val="es-ES"/>
        </w:rPr>
        <w:footnoteReference w:id="98"/>
      </w:r>
      <w:r w:rsidR="009C1174" w:rsidRPr="00F955EE">
        <w:rPr>
          <w:rFonts w:cs="Arial"/>
          <w:lang w:val="es-ES"/>
        </w:rPr>
        <w:t xml:space="preserve">- </w:t>
      </w:r>
      <w:r w:rsidR="00C275D1" w:rsidRPr="00F955EE">
        <w:rPr>
          <w:rFonts w:cs="Arial"/>
          <w:lang w:val="es-ES"/>
        </w:rPr>
        <w:t xml:space="preserve">y organización previa a la intervención, </w:t>
      </w:r>
      <w:r w:rsidR="00C275D1" w:rsidRPr="000B64C0">
        <w:rPr>
          <w:rFonts w:cs="Arial"/>
          <w:lang w:val="es-ES"/>
        </w:rPr>
        <w:t xml:space="preserve">lo que resultó en </w:t>
      </w:r>
      <w:r w:rsidR="007E2F88" w:rsidRPr="000B64C0">
        <w:rPr>
          <w:rFonts w:cs="Arial"/>
          <w:lang w:val="es-ES"/>
        </w:rPr>
        <w:t>una falta total de proporcionalidad en la respuesta de las autoridades del Estado</w:t>
      </w:r>
      <w:r w:rsidR="00C275D1" w:rsidRPr="00F955EE">
        <w:rPr>
          <w:rStyle w:val="Refdenotaalpie"/>
          <w:lang w:val="es-ES"/>
        </w:rPr>
        <w:footnoteReference w:id="99"/>
      </w:r>
      <w:r w:rsidR="009C1174" w:rsidRPr="00F955EE">
        <w:rPr>
          <w:rFonts w:cs="Arial"/>
          <w:lang w:val="es-ES"/>
        </w:rPr>
        <w:t>.</w:t>
      </w:r>
      <w:r w:rsidR="00770DE0" w:rsidRPr="00F955EE">
        <w:rPr>
          <w:rFonts w:cs="Arial"/>
          <w:lang w:val="es-ES"/>
        </w:rPr>
        <w:t xml:space="preserve"> </w:t>
      </w:r>
    </w:p>
    <w:p w14:paraId="55438073" w14:textId="51B49764" w:rsidR="00DC4A4F" w:rsidRDefault="00DC4A4F" w:rsidP="00C275D1">
      <w:pPr>
        <w:tabs>
          <w:tab w:val="left" w:pos="567"/>
        </w:tabs>
        <w:rPr>
          <w:iCs/>
          <w:highlight w:val="cyan"/>
          <w:lang w:val="es-ES"/>
        </w:rPr>
      </w:pPr>
    </w:p>
    <w:p w14:paraId="3964BAF4" w14:textId="1D5A9497" w:rsidR="00361ECD" w:rsidRPr="00F955EE" w:rsidRDefault="000667D5" w:rsidP="004F0770">
      <w:pPr>
        <w:numPr>
          <w:ilvl w:val="0"/>
          <w:numId w:val="4"/>
        </w:numPr>
        <w:tabs>
          <w:tab w:val="left" w:pos="567"/>
          <w:tab w:val="num" w:pos="1569"/>
          <w:tab w:val="num" w:pos="12305"/>
        </w:tabs>
        <w:ind w:left="0" w:firstLine="0"/>
        <w:rPr>
          <w:lang w:val="es-ES"/>
        </w:rPr>
      </w:pPr>
      <w:r w:rsidRPr="00F955EE">
        <w:rPr>
          <w:lang w:val="es-ES"/>
        </w:rPr>
        <w:lastRenderedPageBreak/>
        <w:t>Según el Estado, el uso de la fuerza estuvo justificado y fue proporcional, por cuanto el objetivo fue evitar el daño a la vida e integridad física que podría haber ocasionado la furgoneta en su intento de atropellar a los agentes estatales. A estos efectos, la Corte recuerda que en su jurisprudencia ha considerado que en todo caso de uso o despliegue de la fuerza, en el que agentes estatales hayan producido la muerte o lesiones de una persona, corresponde analizar el uso legítimo de la fuerza, puesto que “corresponde al Estado la obligación de proveer una explicación satisfactoria y convincente de lo sucedido y desvirtuar las alegaciones sobre su responsabilidad, mediante elementos probatorios adecuados”</w:t>
      </w:r>
      <w:r w:rsidRPr="00F955EE">
        <w:rPr>
          <w:rStyle w:val="Refdenotaalpie"/>
          <w:lang w:val="es-ES"/>
        </w:rPr>
        <w:footnoteReference w:id="100"/>
      </w:r>
      <w:r w:rsidRPr="00F955EE">
        <w:rPr>
          <w:lang w:val="es-ES"/>
        </w:rPr>
        <w:t xml:space="preserve">. A la vista del acervo probatorio obrante en el presente caso, la Corte considera que el Estado no ha logrado </w:t>
      </w:r>
      <w:r w:rsidR="00A700EE" w:rsidRPr="00F955EE">
        <w:rPr>
          <w:lang w:val="es-ES"/>
        </w:rPr>
        <w:t>acreditar</w:t>
      </w:r>
      <w:r w:rsidRPr="00F955EE">
        <w:rPr>
          <w:lang w:val="es-ES"/>
        </w:rPr>
        <w:t xml:space="preserve"> la existencia de un peligro inminente de tal magnitud que justificara el uso de armas de fuego</w:t>
      </w:r>
      <w:r w:rsidR="007A4EF8">
        <w:rPr>
          <w:lang w:val="es-ES"/>
        </w:rPr>
        <w:t xml:space="preserve">, y mucho menos el uso de armas </w:t>
      </w:r>
      <w:r w:rsidR="007A4EF8" w:rsidRPr="000B64C0">
        <w:rPr>
          <w:color w:val="000000" w:themeColor="text1"/>
          <w:lang w:val="es-ES"/>
        </w:rPr>
        <w:t>de</w:t>
      </w:r>
      <w:r w:rsidR="001A46AF" w:rsidRPr="000B64C0">
        <w:rPr>
          <w:color w:val="000000" w:themeColor="text1"/>
          <w:lang w:val="es-ES"/>
        </w:rPr>
        <w:t xml:space="preserve"> guerra</w:t>
      </w:r>
      <w:r w:rsidRPr="00F955EE">
        <w:rPr>
          <w:lang w:val="es-ES"/>
        </w:rPr>
        <w:t xml:space="preserve">. </w:t>
      </w:r>
      <w:r w:rsidR="006C13F5" w:rsidRPr="00F955EE">
        <w:rPr>
          <w:lang w:val="es-ES"/>
        </w:rPr>
        <w:t>Lo anterior</w:t>
      </w:r>
      <w:r w:rsidR="00494B20">
        <w:rPr>
          <w:lang w:val="es-ES"/>
        </w:rPr>
        <w:t>,</w:t>
      </w:r>
      <w:r w:rsidR="006C13F5" w:rsidRPr="00F955EE">
        <w:rPr>
          <w:lang w:val="es-ES"/>
        </w:rPr>
        <w:t xml:space="preserve"> además</w:t>
      </w:r>
      <w:r w:rsidR="00494B20">
        <w:rPr>
          <w:lang w:val="es-ES"/>
        </w:rPr>
        <w:t>,</w:t>
      </w:r>
      <w:r w:rsidR="006C13F5" w:rsidRPr="00F955EE">
        <w:rPr>
          <w:lang w:val="es-ES"/>
        </w:rPr>
        <w:t xml:space="preserve"> se contradice con las declaraciones de ciertos agentes estatales, que </w:t>
      </w:r>
      <w:r w:rsidR="00F61512" w:rsidRPr="00F955EE">
        <w:rPr>
          <w:lang w:val="es-ES"/>
        </w:rPr>
        <w:t>no</w:t>
      </w:r>
      <w:r w:rsidR="006C13F5" w:rsidRPr="00F955EE">
        <w:rPr>
          <w:lang w:val="es-ES"/>
        </w:rPr>
        <w:t xml:space="preserve"> manifestaron la existencia de peligro</w:t>
      </w:r>
      <w:r w:rsidR="007A4EF8">
        <w:rPr>
          <w:lang w:val="es-ES"/>
        </w:rPr>
        <w:t xml:space="preserve"> alguno</w:t>
      </w:r>
      <w:r w:rsidR="006C13F5" w:rsidRPr="00F955EE">
        <w:rPr>
          <w:rStyle w:val="Refdenotaalpie"/>
          <w:lang w:val="es-ES"/>
        </w:rPr>
        <w:footnoteReference w:id="101"/>
      </w:r>
      <w:r w:rsidR="00F61512" w:rsidRPr="00F955EE">
        <w:rPr>
          <w:lang w:val="es-ES"/>
        </w:rPr>
        <w:t xml:space="preserve">, </w:t>
      </w:r>
      <w:r w:rsidR="006C13F5" w:rsidRPr="00F955EE">
        <w:rPr>
          <w:lang w:val="es-ES"/>
        </w:rPr>
        <w:t>e incluso</w:t>
      </w:r>
      <w:r w:rsidR="005C44DA" w:rsidRPr="00F955EE">
        <w:rPr>
          <w:lang w:val="es-ES"/>
        </w:rPr>
        <w:t xml:space="preserve"> negaron tal extremo</w:t>
      </w:r>
      <w:r w:rsidR="00361ECD" w:rsidRPr="00F955EE">
        <w:rPr>
          <w:rStyle w:val="Refdenotaalpie"/>
          <w:lang w:val="es-ES"/>
        </w:rPr>
        <w:footnoteReference w:id="102"/>
      </w:r>
      <w:r w:rsidR="00361ECD" w:rsidRPr="00F955EE">
        <w:rPr>
          <w:lang w:val="es-ES"/>
        </w:rPr>
        <w:t xml:space="preserve">. </w:t>
      </w:r>
    </w:p>
    <w:p w14:paraId="76D12D40" w14:textId="77777777" w:rsidR="00491C6B" w:rsidRPr="00F955EE" w:rsidRDefault="00491C6B" w:rsidP="00491C6B">
      <w:pPr>
        <w:tabs>
          <w:tab w:val="left" w:pos="567"/>
          <w:tab w:val="num" w:pos="12305"/>
        </w:tabs>
        <w:rPr>
          <w:rFonts w:cs="Arial"/>
          <w:lang w:val="es-ES"/>
        </w:rPr>
      </w:pPr>
    </w:p>
    <w:p w14:paraId="786D29B6" w14:textId="37A8C7DF" w:rsidR="00CE7D34" w:rsidRPr="00F955EE" w:rsidRDefault="000136C2" w:rsidP="004F0770">
      <w:pPr>
        <w:numPr>
          <w:ilvl w:val="0"/>
          <w:numId w:val="4"/>
        </w:numPr>
        <w:tabs>
          <w:tab w:val="left" w:pos="567"/>
          <w:tab w:val="num" w:pos="1569"/>
          <w:tab w:val="num" w:pos="12305"/>
        </w:tabs>
        <w:ind w:left="0" w:firstLine="0"/>
        <w:rPr>
          <w:lang w:val="es-ES"/>
        </w:rPr>
      </w:pPr>
      <w:r w:rsidRPr="00F955EE">
        <w:rPr>
          <w:lang w:val="es-ES"/>
        </w:rPr>
        <w:t xml:space="preserve">En conclusión, </w:t>
      </w:r>
      <w:r w:rsidR="003969B1" w:rsidRPr="00F955EE">
        <w:rPr>
          <w:lang w:val="es-ES"/>
        </w:rPr>
        <w:t xml:space="preserve">la Corte considera que en el presente caso </w:t>
      </w:r>
      <w:r w:rsidRPr="00F955EE">
        <w:rPr>
          <w:lang w:val="es-ES"/>
        </w:rPr>
        <w:t>no se acreditó la</w:t>
      </w:r>
      <w:r w:rsidR="005C44DA" w:rsidRPr="00F955EE">
        <w:rPr>
          <w:lang w:val="es-ES"/>
        </w:rPr>
        <w:t xml:space="preserve"> legalidad, </w:t>
      </w:r>
      <w:r w:rsidR="008A6B84" w:rsidRPr="000B64C0">
        <w:rPr>
          <w:lang w:val="es-ES"/>
        </w:rPr>
        <w:t>finalidad legítima,</w:t>
      </w:r>
      <w:r w:rsidR="008A6B84">
        <w:rPr>
          <w:lang w:val="es-ES"/>
        </w:rPr>
        <w:t xml:space="preserve"> </w:t>
      </w:r>
      <w:r w:rsidRPr="00F955EE">
        <w:rPr>
          <w:lang w:val="es-ES"/>
        </w:rPr>
        <w:t xml:space="preserve">absoluta necesidad </w:t>
      </w:r>
      <w:r w:rsidR="005C44DA" w:rsidRPr="00F955EE">
        <w:rPr>
          <w:lang w:val="es-ES"/>
        </w:rPr>
        <w:t>ni proporcionalidad d</w:t>
      </w:r>
      <w:r w:rsidR="003969B1" w:rsidRPr="00F955EE">
        <w:rPr>
          <w:lang w:val="es-ES"/>
        </w:rPr>
        <w:t>el uso de</w:t>
      </w:r>
      <w:r w:rsidRPr="00F955EE">
        <w:rPr>
          <w:lang w:val="es-ES"/>
        </w:rPr>
        <w:t xml:space="preserve"> la fuerza</w:t>
      </w:r>
      <w:r w:rsidR="005C44DA" w:rsidRPr="00F955EE">
        <w:rPr>
          <w:lang w:val="es-ES"/>
        </w:rPr>
        <w:t xml:space="preserve"> ejercido</w:t>
      </w:r>
      <w:r w:rsidRPr="00F955EE">
        <w:rPr>
          <w:lang w:val="es-ES"/>
        </w:rPr>
        <w:t xml:space="preserve">. </w:t>
      </w:r>
      <w:r w:rsidR="005C44DA" w:rsidRPr="00F955EE">
        <w:rPr>
          <w:lang w:val="es-ES"/>
        </w:rPr>
        <w:t>Efectivamente, l</w:t>
      </w:r>
      <w:r w:rsidRPr="00F955EE">
        <w:rPr>
          <w:lang w:val="es-ES"/>
        </w:rPr>
        <w:t>a situación ocasionada fue el resultado del uso desproporcionado de la fuerza imputable al Estado por el actuar de los funcionarios encargados de hacer</w:t>
      </w:r>
      <w:r w:rsidR="002D14B0">
        <w:rPr>
          <w:lang w:val="es-ES"/>
        </w:rPr>
        <w:t xml:space="preserve"> </w:t>
      </w:r>
      <w:r w:rsidRPr="00F955EE">
        <w:rPr>
          <w:lang w:val="es-ES"/>
        </w:rPr>
        <w:t>cumplir la ley.</w:t>
      </w:r>
      <w:r w:rsidR="002D14B0">
        <w:rPr>
          <w:lang w:val="es-ES"/>
        </w:rPr>
        <w:t xml:space="preserve"> </w:t>
      </w:r>
    </w:p>
    <w:p w14:paraId="3A867252" w14:textId="77777777" w:rsidR="00CE7D34" w:rsidRPr="00F955EE" w:rsidRDefault="00CE7D34" w:rsidP="00CE7D34">
      <w:pPr>
        <w:tabs>
          <w:tab w:val="left" w:pos="567"/>
        </w:tabs>
        <w:rPr>
          <w:lang w:val="es-ES"/>
        </w:rPr>
      </w:pPr>
    </w:p>
    <w:p w14:paraId="29275C98" w14:textId="1C8CBD86" w:rsidR="00CE7D34" w:rsidRPr="00F955EE" w:rsidRDefault="000136C2" w:rsidP="004F0770">
      <w:pPr>
        <w:numPr>
          <w:ilvl w:val="0"/>
          <w:numId w:val="4"/>
        </w:numPr>
        <w:tabs>
          <w:tab w:val="left" w:pos="567"/>
          <w:tab w:val="num" w:pos="1569"/>
          <w:tab w:val="num" w:pos="12305"/>
        </w:tabs>
        <w:ind w:left="0" w:firstLine="0"/>
        <w:rPr>
          <w:lang w:val="es-ES"/>
        </w:rPr>
      </w:pPr>
      <w:r w:rsidRPr="00F955EE">
        <w:rPr>
          <w:lang w:val="es-ES"/>
        </w:rPr>
        <w:t xml:space="preserve">La Corte ha establecido que cuando los agentes estatales emplean la fuerza ilegítima, excesiva o desproporcionada, como en el presente caso, dando lugar a la pérdida de la vida, se considera </w:t>
      </w:r>
      <w:r w:rsidR="008320D5" w:rsidRPr="00F955EE">
        <w:rPr>
          <w:lang w:val="es-ES"/>
        </w:rPr>
        <w:t xml:space="preserve">que se ha producido </w:t>
      </w:r>
      <w:r w:rsidRPr="00F955EE">
        <w:rPr>
          <w:lang w:val="es-ES"/>
        </w:rPr>
        <w:t>una privación arbitraria de la misma</w:t>
      </w:r>
      <w:r w:rsidRPr="00F955EE">
        <w:rPr>
          <w:rStyle w:val="Refdenotaalpie"/>
          <w:lang w:val="es-ES"/>
        </w:rPr>
        <w:footnoteReference w:id="103"/>
      </w:r>
      <w:r w:rsidRPr="00F955EE">
        <w:rPr>
          <w:lang w:val="es-ES"/>
        </w:rPr>
        <w:t xml:space="preserve">. </w:t>
      </w:r>
      <w:r w:rsidR="003969B1" w:rsidRPr="00F955EE">
        <w:rPr>
          <w:lang w:val="es-ES"/>
        </w:rPr>
        <w:t>En consecuencia</w:t>
      </w:r>
      <w:r w:rsidRPr="00F955EE">
        <w:rPr>
          <w:lang w:val="es-ES"/>
        </w:rPr>
        <w:t>, la</w:t>
      </w:r>
      <w:r w:rsidR="00361ECD" w:rsidRPr="00F955EE">
        <w:rPr>
          <w:lang w:val="es-ES"/>
        </w:rPr>
        <w:t xml:space="preserve"> muerte del señor Pedro Bacilio Roche Azañ</w:t>
      </w:r>
      <w:r w:rsidR="004277D4" w:rsidRPr="00F955EE">
        <w:rPr>
          <w:lang w:val="es-ES"/>
        </w:rPr>
        <w:t>a</w:t>
      </w:r>
      <w:r w:rsidR="00361ECD" w:rsidRPr="00F955EE">
        <w:rPr>
          <w:lang w:val="es-ES"/>
        </w:rPr>
        <w:t xml:space="preserve"> constituyó una</w:t>
      </w:r>
      <w:r w:rsidRPr="00F955EE">
        <w:rPr>
          <w:lang w:val="es-ES"/>
        </w:rPr>
        <w:t xml:space="preserve"> </w:t>
      </w:r>
      <w:r w:rsidR="00361ECD" w:rsidRPr="00F955EE">
        <w:rPr>
          <w:lang w:val="es-ES"/>
        </w:rPr>
        <w:t>privación</w:t>
      </w:r>
      <w:r w:rsidRPr="00F955EE">
        <w:rPr>
          <w:lang w:val="es-ES"/>
        </w:rPr>
        <w:t xml:space="preserve"> arbitraria de la vida</w:t>
      </w:r>
      <w:r w:rsidR="00D623B8" w:rsidRPr="00F955EE">
        <w:rPr>
          <w:lang w:val="es-ES"/>
        </w:rPr>
        <w:t xml:space="preserve"> imputable al Estado nicaragüense</w:t>
      </w:r>
      <w:r w:rsidR="005C44DA" w:rsidRPr="00F955EE">
        <w:rPr>
          <w:lang w:val="es-ES"/>
        </w:rPr>
        <w:t>, en violación de artículo 4.1 de la Convención Americana, en relación con el artículo 1.1 del mismo instrumento. Asimismo,</w:t>
      </w:r>
      <w:r w:rsidR="00361ECD" w:rsidRPr="00F955EE">
        <w:rPr>
          <w:lang w:val="es-ES"/>
        </w:rPr>
        <w:t xml:space="preserve"> las heridas ocasionadas a su hermano Patricio Fernando Roche Azaña</w:t>
      </w:r>
      <w:r w:rsidR="005C44DA" w:rsidRPr="00F955EE">
        <w:rPr>
          <w:lang w:val="es-ES"/>
        </w:rPr>
        <w:t xml:space="preserve"> constituyeron una violación</w:t>
      </w:r>
      <w:r w:rsidR="002D14B0">
        <w:rPr>
          <w:lang w:val="es-ES"/>
        </w:rPr>
        <w:t xml:space="preserve"> </w:t>
      </w:r>
      <w:r w:rsidR="005C44DA" w:rsidRPr="00F955EE">
        <w:rPr>
          <w:lang w:val="es-ES"/>
        </w:rPr>
        <w:t xml:space="preserve">del artículo </w:t>
      </w:r>
      <w:r w:rsidR="00D623B8" w:rsidRPr="00F955EE">
        <w:rPr>
          <w:lang w:val="es-ES"/>
        </w:rPr>
        <w:t>5</w:t>
      </w:r>
      <w:r w:rsidR="001C0A41" w:rsidRPr="00F955EE">
        <w:rPr>
          <w:lang w:val="es-ES"/>
        </w:rPr>
        <w:t>.1</w:t>
      </w:r>
      <w:r w:rsidR="00D623B8" w:rsidRPr="00F955EE">
        <w:rPr>
          <w:lang w:val="es-ES"/>
        </w:rPr>
        <w:t xml:space="preserve"> de la Convención Americana</w:t>
      </w:r>
      <w:r w:rsidR="00194A70" w:rsidRPr="00F955EE">
        <w:rPr>
          <w:lang w:val="es-ES"/>
        </w:rPr>
        <w:t xml:space="preserve">, </w:t>
      </w:r>
      <w:r w:rsidR="00D623B8" w:rsidRPr="00F955EE">
        <w:rPr>
          <w:lang w:val="es-ES"/>
        </w:rPr>
        <w:t xml:space="preserve">en relación con el artículo 1.1 del mismo instrumento. </w:t>
      </w:r>
    </w:p>
    <w:p w14:paraId="141EEB1B" w14:textId="77777777" w:rsidR="00CE7D34" w:rsidRPr="00F955EE" w:rsidRDefault="00CE7D34" w:rsidP="00CE7D34">
      <w:pPr>
        <w:tabs>
          <w:tab w:val="left" w:pos="567"/>
        </w:tabs>
        <w:rPr>
          <w:lang w:val="es-ES"/>
        </w:rPr>
      </w:pPr>
    </w:p>
    <w:p w14:paraId="5BB52A6C" w14:textId="0E728CEE" w:rsidR="00BE00AA" w:rsidRPr="00F955EE" w:rsidRDefault="00CE7D34" w:rsidP="004F0770">
      <w:pPr>
        <w:numPr>
          <w:ilvl w:val="0"/>
          <w:numId w:val="4"/>
        </w:numPr>
        <w:tabs>
          <w:tab w:val="left" w:pos="567"/>
          <w:tab w:val="num" w:pos="1569"/>
          <w:tab w:val="num" w:pos="12305"/>
        </w:tabs>
        <w:ind w:left="0" w:firstLine="0"/>
        <w:rPr>
          <w:lang w:val="es-ES"/>
        </w:rPr>
      </w:pPr>
      <w:r w:rsidRPr="00F955EE">
        <w:rPr>
          <w:lang w:val="es-ES"/>
        </w:rPr>
        <w:t>Por otro lado</w:t>
      </w:r>
      <w:r w:rsidR="00BE00AA" w:rsidRPr="00F955EE">
        <w:rPr>
          <w:lang w:val="es-ES"/>
        </w:rPr>
        <w:t xml:space="preserve">, </w:t>
      </w:r>
      <w:r w:rsidR="00A15E04">
        <w:rPr>
          <w:lang w:val="es-ES"/>
        </w:rPr>
        <w:t xml:space="preserve">el Tribunal recuerda que </w:t>
      </w:r>
      <w:r w:rsidR="00BE00AA" w:rsidRPr="00F955EE">
        <w:rPr>
          <w:lang w:val="es-ES"/>
        </w:rPr>
        <w:t xml:space="preserve">de los hechos del caso y de la prueba aportada en el proceso ante la Corte se desprende que, para el momento de los hechos, Nicaragua no contaba con una legislación </w:t>
      </w:r>
      <w:r w:rsidR="00A74556" w:rsidRPr="00F955EE">
        <w:rPr>
          <w:lang w:val="es-ES"/>
        </w:rPr>
        <w:t xml:space="preserve">concreta y específica </w:t>
      </w:r>
      <w:r w:rsidR="00BE00AA" w:rsidRPr="00F955EE">
        <w:rPr>
          <w:lang w:val="es-ES"/>
        </w:rPr>
        <w:t xml:space="preserve">que estableciera los parámetros para el uso de la fuerza por parte de agentes del Estado y de aquellas personas encargadas de hacer cumplir la ley. En razón de lo anterior, el Estado no cumplió con su obligación de garantizar los derechos a la vida y a la integridad personal mediante una adecuada legislación sobre el uso de la fuerza, en contravención del artículo 2 de la Convención Americana, en relación con los artículos 4.1 y 5.1 del mismo instrumento. </w:t>
      </w:r>
    </w:p>
    <w:p w14:paraId="66441A15" w14:textId="7BEC1DDB" w:rsidR="00935AEC" w:rsidRPr="00F955EE" w:rsidRDefault="00467516" w:rsidP="007537A3">
      <w:pPr>
        <w:pStyle w:val="Ttulo1"/>
        <w:rPr>
          <w:snapToGrid/>
          <w:lang w:val="es-ES"/>
        </w:rPr>
      </w:pPr>
      <w:bookmarkStart w:id="43" w:name="_Toc24447096"/>
      <w:bookmarkStart w:id="44" w:name="_Toc43216156"/>
      <w:bookmarkEnd w:id="30"/>
      <w:bookmarkEnd w:id="31"/>
      <w:bookmarkEnd w:id="32"/>
      <w:r w:rsidRPr="00F955EE">
        <w:rPr>
          <w:rStyle w:val="Ttulo1Car"/>
          <w:b/>
          <w:bCs/>
          <w:caps/>
          <w:lang w:val="es-ES"/>
        </w:rPr>
        <w:lastRenderedPageBreak/>
        <w:t>V</w:t>
      </w:r>
      <w:r w:rsidR="00241F90" w:rsidRPr="00F955EE">
        <w:rPr>
          <w:rStyle w:val="Ttulo1Car"/>
          <w:b/>
          <w:bCs/>
          <w:caps/>
          <w:lang w:val="es-ES"/>
        </w:rPr>
        <w:t>I</w:t>
      </w:r>
      <w:r w:rsidRPr="00F955EE">
        <w:rPr>
          <w:rStyle w:val="Ttulo1Car"/>
          <w:b/>
          <w:bCs/>
          <w:caps/>
          <w:lang w:val="es-ES"/>
        </w:rPr>
        <w:t>-</w:t>
      </w:r>
      <w:r w:rsidR="00964E7B" w:rsidRPr="00F955EE">
        <w:rPr>
          <w:rStyle w:val="Ttulo1Car"/>
          <w:b/>
          <w:bCs/>
          <w:caps/>
          <w:lang w:val="es-ES"/>
        </w:rPr>
        <w:t>2</w:t>
      </w:r>
      <w:r w:rsidRPr="00F955EE">
        <w:rPr>
          <w:rStyle w:val="Ttulo1Car"/>
          <w:b/>
          <w:bCs/>
          <w:caps/>
          <w:lang w:val="es-ES"/>
        </w:rPr>
        <w:br/>
      </w:r>
      <w:r w:rsidR="00B21AF4" w:rsidRPr="00F955EE">
        <w:rPr>
          <w:rStyle w:val="Ttulo1Car"/>
          <w:b/>
          <w:bCs/>
          <w:caps/>
          <w:lang w:val="es-ES"/>
        </w:rPr>
        <w:t>DERECHO</w:t>
      </w:r>
      <w:r w:rsidR="006D4185">
        <w:rPr>
          <w:rStyle w:val="Ttulo1Car"/>
          <w:b/>
          <w:bCs/>
          <w:caps/>
          <w:lang w:val="es-ES"/>
        </w:rPr>
        <w:t>S</w:t>
      </w:r>
      <w:r w:rsidR="00B21AF4" w:rsidRPr="00F955EE">
        <w:rPr>
          <w:rStyle w:val="Ttulo1Car"/>
          <w:b/>
          <w:bCs/>
          <w:caps/>
          <w:lang w:val="es-ES"/>
        </w:rPr>
        <w:t xml:space="preserve"> A LAS </w:t>
      </w:r>
      <w:r w:rsidR="00891A4D" w:rsidRPr="00F955EE">
        <w:rPr>
          <w:rStyle w:val="Ttulo1Car"/>
          <w:b/>
          <w:bCs/>
          <w:caps/>
          <w:lang w:val="es-ES"/>
        </w:rPr>
        <w:t xml:space="preserve">GARANTÍAS JUDICIALES Y </w:t>
      </w:r>
      <w:r w:rsidR="00B21AF4" w:rsidRPr="00F955EE">
        <w:rPr>
          <w:rStyle w:val="Ttulo1Car"/>
          <w:b/>
          <w:bCs/>
          <w:caps/>
          <w:lang w:val="es-ES"/>
        </w:rPr>
        <w:t xml:space="preserve">A LA </w:t>
      </w:r>
      <w:r w:rsidR="00891A4D" w:rsidRPr="00F955EE">
        <w:rPr>
          <w:rStyle w:val="Ttulo1Car"/>
          <w:b/>
          <w:bCs/>
          <w:caps/>
          <w:lang w:val="es-ES"/>
        </w:rPr>
        <w:t>PROTECCIÓN JUDICIAL</w:t>
      </w:r>
      <w:r w:rsidR="007A57CF" w:rsidRPr="00F955EE">
        <w:rPr>
          <w:rStyle w:val="Refdenotaalpie"/>
          <w:snapToGrid/>
          <w:lang w:val="es-ES"/>
        </w:rPr>
        <w:footnoteReference w:id="104"/>
      </w:r>
      <w:bookmarkEnd w:id="43"/>
      <w:bookmarkEnd w:id="44"/>
      <w:r w:rsidR="004C3044" w:rsidRPr="00F955EE">
        <w:rPr>
          <w:rStyle w:val="Ttulo1Car"/>
          <w:b/>
          <w:bCs/>
          <w:caps/>
          <w:lang w:val="es-ES"/>
        </w:rPr>
        <w:t xml:space="preserve"> </w:t>
      </w:r>
    </w:p>
    <w:p w14:paraId="45F46A77" w14:textId="68A7FD67" w:rsidR="00964E7B" w:rsidRPr="00F955EE" w:rsidRDefault="005E3680" w:rsidP="004F0770">
      <w:pPr>
        <w:numPr>
          <w:ilvl w:val="0"/>
          <w:numId w:val="4"/>
        </w:numPr>
        <w:tabs>
          <w:tab w:val="left" w:pos="567"/>
          <w:tab w:val="num" w:pos="1569"/>
          <w:tab w:val="num" w:pos="12305"/>
        </w:tabs>
        <w:ind w:left="0" w:firstLine="0"/>
        <w:rPr>
          <w:lang w:val="es-ES"/>
        </w:rPr>
      </w:pPr>
      <w:r w:rsidRPr="00F955EE">
        <w:rPr>
          <w:lang w:val="es-ES"/>
        </w:rPr>
        <w:t>En el presente capítulo</w:t>
      </w:r>
      <w:r w:rsidR="00494B20">
        <w:rPr>
          <w:lang w:val="es-ES"/>
        </w:rPr>
        <w:t>,</w:t>
      </w:r>
      <w:r w:rsidRPr="00F955EE">
        <w:rPr>
          <w:lang w:val="es-ES"/>
        </w:rPr>
        <w:t xml:space="preserve"> la Corte analizará específicamente (i) </w:t>
      </w:r>
      <w:r w:rsidR="005C3457" w:rsidRPr="00F955EE">
        <w:rPr>
          <w:lang w:val="es-ES"/>
        </w:rPr>
        <w:t xml:space="preserve">la alegada falta de participación de Patricio Fernando Roche Azaña </w:t>
      </w:r>
      <w:r w:rsidR="008320D5" w:rsidRPr="00F955EE">
        <w:rPr>
          <w:lang w:val="es-ES"/>
        </w:rPr>
        <w:t xml:space="preserve">y sus padres </w:t>
      </w:r>
      <w:r w:rsidR="005C3457" w:rsidRPr="00F955EE">
        <w:rPr>
          <w:lang w:val="es-ES"/>
        </w:rPr>
        <w:t>en el proceso penal</w:t>
      </w:r>
      <w:r w:rsidR="008320D5" w:rsidRPr="00F955EE">
        <w:rPr>
          <w:lang w:val="es-ES"/>
        </w:rPr>
        <w:t xml:space="preserve"> seguido contra los agentes estatales acusados de efectuar los disparos</w:t>
      </w:r>
      <w:r w:rsidR="005C3457" w:rsidRPr="00F955EE">
        <w:rPr>
          <w:lang w:val="es-ES"/>
        </w:rPr>
        <w:t xml:space="preserve">, </w:t>
      </w:r>
      <w:r w:rsidRPr="00F955EE">
        <w:rPr>
          <w:lang w:val="es-ES"/>
        </w:rPr>
        <w:t>(ii</w:t>
      </w:r>
      <w:r w:rsidR="003A55B9" w:rsidRPr="00F955EE">
        <w:rPr>
          <w:lang w:val="es-ES"/>
        </w:rPr>
        <w:t xml:space="preserve">) la alegada falta de motivación del veredicto absolutorio, así como (iii) </w:t>
      </w:r>
      <w:r w:rsidRPr="00F955EE">
        <w:rPr>
          <w:lang w:val="es-ES"/>
        </w:rPr>
        <w:t xml:space="preserve">la alegada imposibilidad legal de apelar </w:t>
      </w:r>
      <w:r w:rsidR="005C3457" w:rsidRPr="00F955EE">
        <w:rPr>
          <w:lang w:val="es-ES"/>
        </w:rPr>
        <w:t>el</w:t>
      </w:r>
      <w:r w:rsidRPr="00F955EE">
        <w:rPr>
          <w:lang w:val="es-ES"/>
        </w:rPr>
        <w:t xml:space="preserve"> veredicto</w:t>
      </w:r>
      <w:r w:rsidR="005C3457" w:rsidRPr="00F955EE">
        <w:rPr>
          <w:lang w:val="es-ES"/>
        </w:rPr>
        <w:t xml:space="preserve"> mediante el cual se absolvió a </w:t>
      </w:r>
      <w:r w:rsidR="008320D5" w:rsidRPr="00F955EE">
        <w:rPr>
          <w:lang w:val="es-ES"/>
        </w:rPr>
        <w:t>dichos agentes estatales</w:t>
      </w:r>
      <w:r w:rsidRPr="00F955EE">
        <w:rPr>
          <w:lang w:val="es-ES"/>
        </w:rPr>
        <w:t xml:space="preserve">, </w:t>
      </w:r>
      <w:r w:rsidR="005C3457" w:rsidRPr="00F955EE">
        <w:rPr>
          <w:lang w:val="es-ES"/>
        </w:rPr>
        <w:t xml:space="preserve">todo ello </w:t>
      </w:r>
      <w:r w:rsidR="00964E7B" w:rsidRPr="00F955EE">
        <w:rPr>
          <w:lang w:val="es-ES"/>
        </w:rPr>
        <w:t xml:space="preserve">en alegada violación de los artículos </w:t>
      </w:r>
      <w:r w:rsidR="00891A4D" w:rsidRPr="00F955EE">
        <w:rPr>
          <w:lang w:val="es-ES"/>
        </w:rPr>
        <w:t>8</w:t>
      </w:r>
      <w:r w:rsidR="00964E7B" w:rsidRPr="00F955EE">
        <w:rPr>
          <w:lang w:val="es-ES"/>
        </w:rPr>
        <w:t xml:space="preserve"> y </w:t>
      </w:r>
      <w:r w:rsidR="00891A4D" w:rsidRPr="00F955EE">
        <w:rPr>
          <w:lang w:val="es-ES"/>
        </w:rPr>
        <w:t>2</w:t>
      </w:r>
      <w:r w:rsidR="00964E7B" w:rsidRPr="00F955EE">
        <w:rPr>
          <w:lang w:val="es-ES"/>
        </w:rPr>
        <w:t xml:space="preserve">5 de la Convención Americana, en relación con </w:t>
      </w:r>
      <w:r w:rsidR="00DA1539" w:rsidRPr="00F955EE">
        <w:rPr>
          <w:lang w:val="es-ES"/>
        </w:rPr>
        <w:t>el</w:t>
      </w:r>
      <w:r w:rsidR="00964E7B" w:rsidRPr="00F955EE">
        <w:rPr>
          <w:lang w:val="es-ES"/>
        </w:rPr>
        <w:t xml:space="preserve"> artícul</w:t>
      </w:r>
      <w:r w:rsidR="00891A4D" w:rsidRPr="00F955EE">
        <w:rPr>
          <w:lang w:val="es-ES"/>
        </w:rPr>
        <w:t>o 1.1 de dicho instrumento</w:t>
      </w:r>
      <w:r w:rsidR="00964E7B" w:rsidRPr="00F955EE">
        <w:rPr>
          <w:lang w:val="es-ES"/>
        </w:rPr>
        <w:t>.</w:t>
      </w:r>
    </w:p>
    <w:p w14:paraId="4CA529E0" w14:textId="3A8625C3" w:rsidR="00467516" w:rsidRPr="00F955EE" w:rsidRDefault="00467516" w:rsidP="00E06F63">
      <w:pPr>
        <w:pStyle w:val="Ttulo2"/>
        <w:rPr>
          <w:lang w:val="es-ES"/>
        </w:rPr>
      </w:pPr>
      <w:bookmarkStart w:id="45" w:name="_Toc24447097"/>
      <w:bookmarkStart w:id="46" w:name="_Toc43216157"/>
      <w:r w:rsidRPr="00F955EE">
        <w:rPr>
          <w:lang w:val="es-ES"/>
        </w:rPr>
        <w:t>A.</w:t>
      </w:r>
      <w:r w:rsidRPr="00F955EE">
        <w:rPr>
          <w:lang w:val="es-ES"/>
        </w:rPr>
        <w:tab/>
      </w:r>
      <w:r w:rsidR="00390E2D" w:rsidRPr="00F955EE">
        <w:rPr>
          <w:lang w:val="es-ES"/>
        </w:rPr>
        <w:t xml:space="preserve"> </w:t>
      </w:r>
      <w:r w:rsidRPr="00F955EE">
        <w:rPr>
          <w:lang w:val="es-ES"/>
        </w:rPr>
        <w:t>Argumentos de las partes y de la Comisión</w:t>
      </w:r>
      <w:bookmarkEnd w:id="45"/>
      <w:bookmarkEnd w:id="46"/>
    </w:p>
    <w:p w14:paraId="63441F88" w14:textId="21EE9C38" w:rsidR="005C3457" w:rsidRPr="00F955EE" w:rsidRDefault="005C3457" w:rsidP="005C3457">
      <w:pPr>
        <w:pStyle w:val="Ttulo3"/>
        <w:rPr>
          <w:lang w:val="es-ES"/>
        </w:rPr>
      </w:pPr>
      <w:r w:rsidRPr="00F955EE">
        <w:rPr>
          <w:lang w:val="es-ES"/>
        </w:rPr>
        <w:tab/>
      </w:r>
      <w:bookmarkStart w:id="47" w:name="_Toc43216158"/>
      <w:r w:rsidRPr="00F955EE">
        <w:rPr>
          <w:lang w:val="es-ES"/>
        </w:rPr>
        <w:t xml:space="preserve">a.1 </w:t>
      </w:r>
      <w:r w:rsidR="00CD42CE">
        <w:rPr>
          <w:lang w:val="es-ES"/>
        </w:rPr>
        <w:t>Falta de p</w:t>
      </w:r>
      <w:r w:rsidRPr="00F955EE">
        <w:rPr>
          <w:lang w:val="es-ES"/>
        </w:rPr>
        <w:t xml:space="preserve">articipación del señor Patricio Fernando Roche Azaña </w:t>
      </w:r>
      <w:r w:rsidR="0080704A">
        <w:rPr>
          <w:lang w:val="es-ES"/>
        </w:rPr>
        <w:t xml:space="preserve">y de sus familiares </w:t>
      </w:r>
      <w:r w:rsidRPr="00F955EE">
        <w:rPr>
          <w:lang w:val="es-ES"/>
        </w:rPr>
        <w:t>en el procedimiento penal</w:t>
      </w:r>
      <w:bookmarkEnd w:id="47"/>
    </w:p>
    <w:p w14:paraId="30F3C004" w14:textId="62264335" w:rsidR="00650BF4" w:rsidRPr="00F955EE" w:rsidRDefault="00650BF4" w:rsidP="004F0770">
      <w:pPr>
        <w:numPr>
          <w:ilvl w:val="0"/>
          <w:numId w:val="4"/>
        </w:numPr>
        <w:tabs>
          <w:tab w:val="left" w:pos="567"/>
          <w:tab w:val="num" w:pos="1569"/>
          <w:tab w:val="num" w:pos="12305"/>
        </w:tabs>
        <w:ind w:left="0" w:firstLine="0"/>
        <w:rPr>
          <w:lang w:val="es-ES"/>
        </w:rPr>
      </w:pPr>
      <w:r w:rsidRPr="00F955EE">
        <w:rPr>
          <w:lang w:val="es-ES"/>
        </w:rPr>
        <w:t xml:space="preserve">La </w:t>
      </w:r>
      <w:r w:rsidRPr="00F955EE">
        <w:rPr>
          <w:b/>
          <w:i/>
          <w:lang w:val="es-ES"/>
        </w:rPr>
        <w:t>Comisión</w:t>
      </w:r>
      <w:r w:rsidRPr="00F955EE">
        <w:rPr>
          <w:lang w:val="es-ES"/>
        </w:rPr>
        <w:t xml:space="preserve"> consideró que, si bien es cierto</w:t>
      </w:r>
      <w:r w:rsidR="00984CC5" w:rsidRPr="00F955EE">
        <w:rPr>
          <w:lang w:val="es-ES"/>
        </w:rPr>
        <w:t xml:space="preserve"> que</w:t>
      </w:r>
      <w:r w:rsidRPr="00F955EE">
        <w:rPr>
          <w:lang w:val="es-ES"/>
        </w:rPr>
        <w:t xml:space="preserve"> no fue posible tomarle declaración al señor Patricio Roche Azaña debido a su estado de salud dentro de los diez primeros días que establecía la </w:t>
      </w:r>
      <w:r w:rsidRPr="00F955EE">
        <w:rPr>
          <w:color w:val="151515"/>
          <w:lang w:val="es-ES"/>
        </w:rPr>
        <w:t>legislación</w:t>
      </w:r>
      <w:r w:rsidRPr="00F955EE">
        <w:rPr>
          <w:lang w:val="es-ES"/>
        </w:rPr>
        <w:t xml:space="preserve"> nicaragüense, existían posibilidades para que participara en el </w:t>
      </w:r>
      <w:r w:rsidRPr="00F955EE">
        <w:rPr>
          <w:rFonts w:eastAsia="Verdana" w:cs="Verdana"/>
          <w:lang w:val="es-ES"/>
        </w:rPr>
        <w:t>procedimiento</w:t>
      </w:r>
      <w:r w:rsidRPr="00F955EE">
        <w:rPr>
          <w:lang w:val="es-ES"/>
        </w:rPr>
        <w:t xml:space="preserve"> más adelante, situación que no fue tomada en cuenta por los tribunales</w:t>
      </w:r>
      <w:r w:rsidR="00D75BFE" w:rsidRPr="00F955EE">
        <w:rPr>
          <w:lang w:val="es-ES"/>
        </w:rPr>
        <w:t xml:space="preserve"> nacionales</w:t>
      </w:r>
      <w:r w:rsidRPr="00F955EE">
        <w:rPr>
          <w:lang w:val="es-ES"/>
        </w:rPr>
        <w:t xml:space="preserve">. Por el contrario, nunca </w:t>
      </w:r>
      <w:r w:rsidR="0080704A">
        <w:rPr>
          <w:lang w:val="es-ES"/>
        </w:rPr>
        <w:t>se le informó de</w:t>
      </w:r>
      <w:r w:rsidRPr="00F955EE">
        <w:rPr>
          <w:lang w:val="es-ES"/>
        </w:rPr>
        <w:t xml:space="preserve"> la existencia de un procedimiento, la forma en la que podía participar y las repercusiones que podía tener para él, a pesar de que se encontraba con posibilidades de participar en el proceso luego de salir del estado de coma.</w:t>
      </w:r>
      <w:r w:rsidR="00701DE2" w:rsidRPr="00F955EE">
        <w:rPr>
          <w:lang w:val="es-ES"/>
        </w:rPr>
        <w:t xml:space="preserve"> </w:t>
      </w:r>
      <w:r w:rsidR="00D75BFE" w:rsidRPr="00F955EE">
        <w:rPr>
          <w:lang w:val="es-ES"/>
        </w:rPr>
        <w:t>En la audiencia pública celebrada ante esta Corte, la Comisión destacó que el Estado no ofreció ningún tipo de explicación sobre por</w:t>
      </w:r>
      <w:r w:rsidR="008B2D5F" w:rsidRPr="00F955EE">
        <w:rPr>
          <w:lang w:val="es-ES"/>
        </w:rPr>
        <w:t xml:space="preserve"> </w:t>
      </w:r>
      <w:r w:rsidR="00D75BFE" w:rsidRPr="00F955EE">
        <w:rPr>
          <w:lang w:val="es-ES"/>
        </w:rPr>
        <w:t xml:space="preserve">qué después de que el señor Roche </w:t>
      </w:r>
      <w:r w:rsidR="00701DE2" w:rsidRPr="00F955EE">
        <w:rPr>
          <w:lang w:val="es-ES"/>
        </w:rPr>
        <w:t>Azaña</w:t>
      </w:r>
      <w:r w:rsidR="00D75BFE" w:rsidRPr="00F955EE">
        <w:rPr>
          <w:lang w:val="es-ES"/>
        </w:rPr>
        <w:t xml:space="preserve"> salió del coma no se le notificó siquiera la </w:t>
      </w:r>
      <w:r w:rsidR="00A92F62" w:rsidRPr="00F955EE">
        <w:rPr>
          <w:lang w:val="es-ES"/>
        </w:rPr>
        <w:t>existencia</w:t>
      </w:r>
      <w:r w:rsidR="00D75BFE" w:rsidRPr="00F955EE">
        <w:rPr>
          <w:lang w:val="es-ES"/>
        </w:rPr>
        <w:t xml:space="preserve"> del procedimiento, ni tampoco a su madre o a su padre. La Comisión añadió que las personas migrantes se encuentran en una situación de considerable desventaja para defender sus derechos por diversas barreras al acceso a la justicia, entre las que se destacan la falta de conocimiento sobre las leyes y el sistema jurídico del país en el que se encuentran. Debi</w:t>
      </w:r>
      <w:r w:rsidR="009F6981" w:rsidRPr="00F955EE">
        <w:rPr>
          <w:lang w:val="es-ES"/>
        </w:rPr>
        <w:t>d</w:t>
      </w:r>
      <w:r w:rsidR="00D75BFE" w:rsidRPr="00F955EE">
        <w:rPr>
          <w:lang w:val="es-ES"/>
        </w:rPr>
        <w:t>o a lo anterior, el derecho a contar con información respecto del proceso cobra un valor especial por el peso que puede tener en el acceso a la justicia de las personas migrantes</w:t>
      </w:r>
      <w:r w:rsidR="005D6D9C" w:rsidRPr="00F955EE">
        <w:rPr>
          <w:lang w:val="es-ES"/>
        </w:rPr>
        <w:t>.</w:t>
      </w:r>
      <w:r w:rsidR="002D14B0">
        <w:rPr>
          <w:lang w:val="es-ES"/>
        </w:rPr>
        <w:t xml:space="preserve"> </w:t>
      </w:r>
    </w:p>
    <w:p w14:paraId="121A3A1D" w14:textId="77777777" w:rsidR="00650BF4" w:rsidRPr="00F955EE" w:rsidRDefault="00650BF4" w:rsidP="00650BF4">
      <w:pPr>
        <w:pStyle w:val="Prrafodelista"/>
        <w:autoSpaceDE w:val="0"/>
        <w:autoSpaceDN w:val="0"/>
        <w:spacing w:line="20" w:lineRule="atLeast"/>
        <w:ind w:left="0"/>
        <w:rPr>
          <w:lang w:val="es-ES"/>
        </w:rPr>
      </w:pPr>
    </w:p>
    <w:p w14:paraId="13342A27" w14:textId="54AF770D" w:rsidR="00650BF4" w:rsidRPr="00F955EE" w:rsidRDefault="00650BF4" w:rsidP="004F0770">
      <w:pPr>
        <w:numPr>
          <w:ilvl w:val="0"/>
          <w:numId w:val="4"/>
        </w:numPr>
        <w:tabs>
          <w:tab w:val="left" w:pos="567"/>
          <w:tab w:val="num" w:pos="1569"/>
          <w:tab w:val="num" w:pos="12305"/>
        </w:tabs>
        <w:ind w:left="0" w:firstLine="0"/>
        <w:rPr>
          <w:lang w:val="es-ES"/>
        </w:rPr>
      </w:pPr>
      <w:r w:rsidRPr="00F955EE">
        <w:rPr>
          <w:lang w:val="es-ES"/>
        </w:rPr>
        <w:t xml:space="preserve">El </w:t>
      </w:r>
      <w:r w:rsidRPr="00F955EE">
        <w:rPr>
          <w:b/>
          <w:i/>
          <w:lang w:val="es-ES"/>
        </w:rPr>
        <w:t>representante</w:t>
      </w:r>
      <w:r w:rsidRPr="00F955EE">
        <w:rPr>
          <w:lang w:val="es-ES"/>
        </w:rPr>
        <w:t xml:space="preserve"> se adhirió a las consideraciones formuladas por la Comisión. </w:t>
      </w:r>
      <w:r w:rsidR="00A11D6C" w:rsidRPr="00F955EE">
        <w:rPr>
          <w:bCs/>
          <w:lang w:val="es-ES"/>
        </w:rPr>
        <w:t>Asimismo</w:t>
      </w:r>
      <w:r w:rsidR="005D6D9C" w:rsidRPr="00F955EE">
        <w:rPr>
          <w:bCs/>
          <w:lang w:val="es-ES"/>
        </w:rPr>
        <w:t xml:space="preserve">, en sus alegatos finales escritos, destacó que </w:t>
      </w:r>
      <w:r w:rsidR="00CB2F47" w:rsidRPr="00F955EE">
        <w:rPr>
          <w:bCs/>
          <w:lang w:val="es-ES"/>
        </w:rPr>
        <w:t xml:space="preserve">el señor </w:t>
      </w:r>
      <w:r w:rsidR="005D6D9C" w:rsidRPr="00F955EE">
        <w:rPr>
          <w:bCs/>
          <w:lang w:val="es-ES"/>
        </w:rPr>
        <w:t xml:space="preserve">Patricio Fernando Roche Azaña estuvo internado en el </w:t>
      </w:r>
      <w:r w:rsidR="005D6D9C" w:rsidRPr="00F955EE">
        <w:rPr>
          <w:lang w:val="es-ES"/>
        </w:rPr>
        <w:t>hospital</w:t>
      </w:r>
      <w:r w:rsidR="005D6D9C" w:rsidRPr="00F955EE">
        <w:rPr>
          <w:bCs/>
          <w:lang w:val="es-ES"/>
        </w:rPr>
        <w:t xml:space="preserve"> por casi siete meses, de los cuales sólo el primero estuvo en coma. Destacó que, pese a que la sentencia absolutoria se d</w:t>
      </w:r>
      <w:r w:rsidR="00A11D6C" w:rsidRPr="00F955EE">
        <w:rPr>
          <w:bCs/>
          <w:lang w:val="es-ES"/>
        </w:rPr>
        <w:t>ic</w:t>
      </w:r>
      <w:r w:rsidR="005D6D9C" w:rsidRPr="00F955EE">
        <w:rPr>
          <w:bCs/>
          <w:lang w:val="es-ES"/>
        </w:rPr>
        <w:t>tó casi un año después de los hechos, el juez instructor de la c</w:t>
      </w:r>
      <w:r w:rsidR="008B2D5F" w:rsidRPr="00F955EE">
        <w:rPr>
          <w:bCs/>
          <w:lang w:val="es-ES"/>
        </w:rPr>
        <w:t>a</w:t>
      </w:r>
      <w:r w:rsidR="005D6D9C" w:rsidRPr="00F955EE">
        <w:rPr>
          <w:bCs/>
          <w:lang w:val="es-ES"/>
        </w:rPr>
        <w:t xml:space="preserve">usa nunca más intentó recabar la declaración del señor Roche Azaña. </w:t>
      </w:r>
    </w:p>
    <w:p w14:paraId="5341D5CF" w14:textId="77777777" w:rsidR="00650BF4" w:rsidRPr="00F955EE" w:rsidRDefault="00650BF4" w:rsidP="00650BF4">
      <w:pPr>
        <w:pStyle w:val="Prrafodelista"/>
        <w:autoSpaceDE w:val="0"/>
        <w:autoSpaceDN w:val="0"/>
        <w:spacing w:line="20" w:lineRule="atLeast"/>
        <w:ind w:left="0"/>
        <w:rPr>
          <w:lang w:val="es-ES"/>
        </w:rPr>
      </w:pPr>
    </w:p>
    <w:p w14:paraId="01AC1A3A" w14:textId="59EBC59E" w:rsidR="00B73B1B" w:rsidRPr="00F955EE" w:rsidRDefault="00650BF4" w:rsidP="004F0770">
      <w:pPr>
        <w:numPr>
          <w:ilvl w:val="0"/>
          <w:numId w:val="4"/>
        </w:numPr>
        <w:tabs>
          <w:tab w:val="left" w:pos="567"/>
          <w:tab w:val="num" w:pos="1569"/>
          <w:tab w:val="num" w:pos="12305"/>
        </w:tabs>
        <w:ind w:left="0" w:firstLine="0"/>
        <w:rPr>
          <w:lang w:val="es-ES"/>
        </w:rPr>
      </w:pPr>
      <w:r w:rsidRPr="00F955EE">
        <w:rPr>
          <w:lang w:val="es-ES"/>
        </w:rPr>
        <w:t xml:space="preserve">El </w:t>
      </w:r>
      <w:r w:rsidRPr="00F955EE">
        <w:rPr>
          <w:b/>
          <w:i/>
          <w:lang w:val="es-ES"/>
        </w:rPr>
        <w:t>Estado</w:t>
      </w:r>
      <w:r w:rsidRPr="00F955EE">
        <w:rPr>
          <w:lang w:val="es-ES"/>
        </w:rPr>
        <w:t xml:space="preserve"> sostuvo que la legislación vigente en 1996 establecía un imperativo legal relativo al término de duración</w:t>
      </w:r>
      <w:r w:rsidR="00B73B1B" w:rsidRPr="00F955EE">
        <w:rPr>
          <w:lang w:val="es-ES"/>
        </w:rPr>
        <w:t xml:space="preserve"> de la fase de instrucción</w:t>
      </w:r>
      <w:r w:rsidRPr="00F955EE">
        <w:rPr>
          <w:lang w:val="es-ES"/>
        </w:rPr>
        <w:t xml:space="preserve">: 10 días si existía reo detenido, </w:t>
      </w:r>
      <w:r w:rsidR="00B73B1B" w:rsidRPr="00F955EE">
        <w:rPr>
          <w:lang w:val="es-ES"/>
        </w:rPr>
        <w:t xml:space="preserve">tal y como sucedió en este caso. Durante dicho </w:t>
      </w:r>
      <w:r w:rsidRPr="00F955EE">
        <w:rPr>
          <w:lang w:val="es-ES"/>
        </w:rPr>
        <w:t>per</w:t>
      </w:r>
      <w:r w:rsidR="00030FF7">
        <w:rPr>
          <w:lang w:val="es-ES"/>
        </w:rPr>
        <w:t>í</w:t>
      </w:r>
      <w:r w:rsidRPr="00F955EE">
        <w:rPr>
          <w:lang w:val="es-ES"/>
        </w:rPr>
        <w:t xml:space="preserve">odo se </w:t>
      </w:r>
      <w:r w:rsidR="00486D47" w:rsidRPr="00F955EE">
        <w:rPr>
          <w:lang w:val="es-ES"/>
        </w:rPr>
        <w:t>procede</w:t>
      </w:r>
      <w:r w:rsidRPr="00F955EE">
        <w:rPr>
          <w:lang w:val="es-ES"/>
        </w:rPr>
        <w:t xml:space="preserve"> a la indagación y recolección de los elementos de prueba de interés procesal a los intervinientes y fines del proceso. Agregó que el </w:t>
      </w:r>
      <w:r w:rsidR="00B73B1B" w:rsidRPr="00F955EE">
        <w:rPr>
          <w:lang w:val="es-ES"/>
        </w:rPr>
        <w:t xml:space="preserve">30 de abril de 1996 el </w:t>
      </w:r>
      <w:r w:rsidRPr="00F955EE">
        <w:rPr>
          <w:lang w:val="es-ES"/>
        </w:rPr>
        <w:t>Juez</w:t>
      </w:r>
      <w:r w:rsidR="00B73B1B" w:rsidRPr="00F955EE">
        <w:rPr>
          <w:lang w:val="es-ES"/>
        </w:rPr>
        <w:t xml:space="preserve"> Primero de </w:t>
      </w:r>
      <w:r w:rsidR="00A11D6C" w:rsidRPr="00F955EE">
        <w:rPr>
          <w:lang w:val="es-ES"/>
        </w:rPr>
        <w:t>Distrito</w:t>
      </w:r>
      <w:r w:rsidR="00B73B1B" w:rsidRPr="00F955EE">
        <w:rPr>
          <w:lang w:val="es-ES"/>
        </w:rPr>
        <w:t xml:space="preserve"> del </w:t>
      </w:r>
      <w:r w:rsidR="00A11D6C" w:rsidRPr="00F955EE">
        <w:rPr>
          <w:lang w:val="es-ES"/>
        </w:rPr>
        <w:t>Crimen</w:t>
      </w:r>
      <w:r w:rsidR="00B73B1B" w:rsidRPr="00F955EE">
        <w:rPr>
          <w:lang w:val="es-ES"/>
        </w:rPr>
        <w:t xml:space="preserve"> de Chinandega</w:t>
      </w:r>
      <w:r w:rsidRPr="00F955EE">
        <w:rPr>
          <w:lang w:val="es-ES"/>
        </w:rPr>
        <w:t xml:space="preserve"> se constituyó en el hospital con el objeto de tomar declaración al señor Patricio Roche Azaña, diligencia que no pudo concretarse por encontrarse la víctima en grave estado de salud</w:t>
      </w:r>
      <w:r w:rsidR="0080704A">
        <w:rPr>
          <w:lang w:val="es-ES"/>
        </w:rPr>
        <w:t xml:space="preserve">. </w:t>
      </w:r>
      <w:r w:rsidRPr="00F955EE">
        <w:rPr>
          <w:lang w:val="es-ES"/>
        </w:rPr>
        <w:t xml:space="preserve">No obstante, considerando que se realizaron otras diligencias judiciales, </w:t>
      </w:r>
      <w:r w:rsidR="00B73B1B" w:rsidRPr="00F955EE">
        <w:rPr>
          <w:lang w:val="es-ES"/>
        </w:rPr>
        <w:t>con fecha 6 de mayo de 1996 dicho</w:t>
      </w:r>
      <w:r w:rsidRPr="00F955EE">
        <w:rPr>
          <w:lang w:val="es-ES"/>
        </w:rPr>
        <w:t xml:space="preserve"> </w:t>
      </w:r>
      <w:r w:rsidR="00B73B1B" w:rsidRPr="00F955EE">
        <w:rPr>
          <w:lang w:val="es-ES"/>
        </w:rPr>
        <w:t>J</w:t>
      </w:r>
      <w:r w:rsidRPr="00F955EE">
        <w:rPr>
          <w:lang w:val="es-ES"/>
        </w:rPr>
        <w:t>ue</w:t>
      </w:r>
      <w:r w:rsidR="008B2D5F" w:rsidRPr="00F955EE">
        <w:rPr>
          <w:lang w:val="es-ES"/>
        </w:rPr>
        <w:t>z</w:t>
      </w:r>
      <w:r w:rsidR="00B73B1B" w:rsidRPr="00F955EE">
        <w:rPr>
          <w:lang w:val="es-ES"/>
        </w:rPr>
        <w:t xml:space="preserve"> emitió una sentencia interlocutoria en la que</w:t>
      </w:r>
      <w:r w:rsidRPr="00F955EE">
        <w:rPr>
          <w:lang w:val="es-ES"/>
        </w:rPr>
        <w:t xml:space="preserve"> asentó los </w:t>
      </w:r>
      <w:r w:rsidR="00392178" w:rsidRPr="00F955EE">
        <w:rPr>
          <w:lang w:val="es-ES"/>
        </w:rPr>
        <w:t>razonamientos lógicos</w:t>
      </w:r>
      <w:r w:rsidRPr="00F955EE">
        <w:rPr>
          <w:lang w:val="es-ES"/>
        </w:rPr>
        <w:t xml:space="preserve"> y jurídicos necesarios para dar por establecido el cuerpo del delito de homicidio doloso en perjuicio de Pedro Roche Azaña y lesiones dolosas cometidas en perjuicio de Patricio Roche Azaña, entre otras personas,</w:t>
      </w:r>
      <w:r w:rsidRPr="00F955EE">
        <w:rPr>
          <w:b/>
          <w:lang w:val="es-ES"/>
        </w:rPr>
        <w:t xml:space="preserve"> </w:t>
      </w:r>
      <w:r w:rsidRPr="00F955EE">
        <w:rPr>
          <w:lang w:val="es-ES"/>
        </w:rPr>
        <w:t xml:space="preserve">materializándose la tutela judicial efectiva. </w:t>
      </w:r>
      <w:r w:rsidR="00B73B1B" w:rsidRPr="00F955EE">
        <w:rPr>
          <w:lang w:val="es-ES"/>
        </w:rPr>
        <w:t xml:space="preserve">Según el Estado, a pesar de que no fue posible recibir la declaración de Patricio Fernando Roche Azaña, el Juez estaba facultado para fundar probatoriamente su decisión en cualquier otro tipo de </w:t>
      </w:r>
      <w:r w:rsidR="00B73B1B" w:rsidRPr="00F955EE">
        <w:rPr>
          <w:lang w:val="es-ES"/>
        </w:rPr>
        <w:lastRenderedPageBreak/>
        <w:t>prueba que produjera certeza respecto de los hechos que se investigaban, y, por tanto,</w:t>
      </w:r>
      <w:r w:rsidR="00B23B67" w:rsidRPr="00F955EE">
        <w:rPr>
          <w:lang w:val="es-ES"/>
        </w:rPr>
        <w:t xml:space="preserve"> </w:t>
      </w:r>
      <w:r w:rsidR="00B73B1B" w:rsidRPr="00F955EE">
        <w:rPr>
          <w:lang w:val="es-ES"/>
        </w:rPr>
        <w:t xml:space="preserve">la tutela judicial efectiva a favor del señor Roche Azaña se materializara a través de la referida sentencia interlocutoria </w:t>
      </w:r>
    </w:p>
    <w:p w14:paraId="5B886A7C" w14:textId="77777777" w:rsidR="00B73B1B" w:rsidRPr="00F955EE" w:rsidRDefault="00B73B1B" w:rsidP="00B73B1B">
      <w:pPr>
        <w:pStyle w:val="Prrafodelista"/>
        <w:widowControl/>
        <w:autoSpaceDE w:val="0"/>
        <w:autoSpaceDN w:val="0"/>
        <w:ind w:left="0"/>
        <w:contextualSpacing/>
        <w:textAlignment w:val="auto"/>
        <w:rPr>
          <w:lang w:val="es-ES"/>
        </w:rPr>
      </w:pPr>
    </w:p>
    <w:p w14:paraId="71EA064E" w14:textId="4C137BBB" w:rsidR="00650BF4" w:rsidRPr="00F955EE" w:rsidRDefault="00B73B1B" w:rsidP="004F0770">
      <w:pPr>
        <w:numPr>
          <w:ilvl w:val="0"/>
          <w:numId w:val="4"/>
        </w:numPr>
        <w:tabs>
          <w:tab w:val="left" w:pos="567"/>
          <w:tab w:val="num" w:pos="1569"/>
          <w:tab w:val="num" w:pos="12305"/>
        </w:tabs>
        <w:ind w:left="0" w:firstLine="0"/>
        <w:rPr>
          <w:lang w:val="es-ES"/>
        </w:rPr>
      </w:pPr>
      <w:r w:rsidRPr="00F955EE">
        <w:rPr>
          <w:lang w:val="es-ES"/>
        </w:rPr>
        <w:t>El Estado también a</w:t>
      </w:r>
      <w:r w:rsidR="00650BF4" w:rsidRPr="00F955EE">
        <w:rPr>
          <w:lang w:val="es-ES"/>
        </w:rPr>
        <w:t xml:space="preserve">gregó que durante la fase plenaria los actos procesales solo </w:t>
      </w:r>
      <w:r w:rsidRPr="00F955EE">
        <w:rPr>
          <w:lang w:val="es-ES"/>
        </w:rPr>
        <w:t>fueron notificados a algunas de las partes ofendidas, si bien todos estos actos fueron notificados a</w:t>
      </w:r>
      <w:r w:rsidR="00650BF4" w:rsidRPr="00F955EE">
        <w:rPr>
          <w:lang w:val="es-ES"/>
        </w:rPr>
        <w:t>l Procurador Penal</w:t>
      </w:r>
      <w:r w:rsidRPr="00F955EE">
        <w:rPr>
          <w:lang w:val="es-ES"/>
        </w:rPr>
        <w:t xml:space="preserve">, quien </w:t>
      </w:r>
      <w:r w:rsidR="00650BF4" w:rsidRPr="00F955EE">
        <w:rPr>
          <w:lang w:val="es-ES"/>
        </w:rPr>
        <w:t xml:space="preserve">ejercía la representación de la </w:t>
      </w:r>
      <w:r w:rsidR="00650BF4" w:rsidRPr="00F955EE">
        <w:rPr>
          <w:i/>
          <w:lang w:val="es-ES"/>
        </w:rPr>
        <w:t>vindicta pública</w:t>
      </w:r>
      <w:r w:rsidRPr="00F955EE">
        <w:rPr>
          <w:lang w:val="es-ES"/>
        </w:rPr>
        <w:t xml:space="preserve"> y desarrolló </w:t>
      </w:r>
      <w:r w:rsidR="00650BF4" w:rsidRPr="00F955EE">
        <w:rPr>
          <w:lang w:val="es-ES"/>
        </w:rPr>
        <w:t>todas las diligencias pertinentes y necesarias para el esclarecimiento de los hechos y el castigo de sus responsables.</w:t>
      </w:r>
      <w:r w:rsidR="00650BF4" w:rsidRPr="00F955EE">
        <w:rPr>
          <w:b/>
          <w:lang w:val="es-ES"/>
        </w:rPr>
        <w:t xml:space="preserve"> </w:t>
      </w:r>
      <w:r w:rsidRPr="00F955EE">
        <w:rPr>
          <w:lang w:val="es-ES"/>
        </w:rPr>
        <w:t>Por otro lado</w:t>
      </w:r>
      <w:r w:rsidR="00D75BFE" w:rsidRPr="00F955EE">
        <w:rPr>
          <w:lang w:val="es-ES"/>
        </w:rPr>
        <w:t>, en la audiencia pública celebrada ante esta Corte, el Estado alegó que existieron comunicaciones entre el juez del procedimiento penal</w:t>
      </w:r>
      <w:r w:rsidR="00486D47" w:rsidRPr="00F955EE">
        <w:rPr>
          <w:lang w:val="es-ES"/>
        </w:rPr>
        <w:t xml:space="preserve">, </w:t>
      </w:r>
      <w:r w:rsidR="00D75BFE" w:rsidRPr="00F955EE">
        <w:rPr>
          <w:lang w:val="es-ES"/>
        </w:rPr>
        <w:t>la Embajada y el Consulado de Ecuador en Nicaragua.</w:t>
      </w:r>
      <w:r w:rsidR="004F159E" w:rsidRPr="00F955EE">
        <w:rPr>
          <w:lang w:val="es-ES"/>
        </w:rPr>
        <w:t xml:space="preserve"> </w:t>
      </w:r>
    </w:p>
    <w:p w14:paraId="35D77E56" w14:textId="28A11B3C" w:rsidR="005C3457" w:rsidRPr="00F955EE" w:rsidRDefault="005C3457" w:rsidP="005C3457">
      <w:pPr>
        <w:pStyle w:val="Ttulo3"/>
        <w:rPr>
          <w:lang w:val="es-ES"/>
        </w:rPr>
      </w:pPr>
      <w:r w:rsidRPr="00F955EE">
        <w:rPr>
          <w:lang w:val="es-ES"/>
        </w:rPr>
        <w:tab/>
      </w:r>
      <w:bookmarkStart w:id="48" w:name="_Toc43216159"/>
      <w:r w:rsidRPr="00F955EE">
        <w:rPr>
          <w:lang w:val="es-ES"/>
        </w:rPr>
        <w:t xml:space="preserve">a.2 Deber de motivación del </w:t>
      </w:r>
      <w:r w:rsidR="004D5DA8" w:rsidRPr="00F955EE">
        <w:rPr>
          <w:lang w:val="es-ES"/>
        </w:rPr>
        <w:t>veredicto</w:t>
      </w:r>
      <w:r w:rsidRPr="00F955EE">
        <w:rPr>
          <w:lang w:val="es-ES"/>
        </w:rPr>
        <w:t xml:space="preserve"> de un jurado</w:t>
      </w:r>
      <w:bookmarkEnd w:id="48"/>
    </w:p>
    <w:p w14:paraId="2E04F60F" w14:textId="45091DDB" w:rsidR="00650BF4" w:rsidRPr="00F955EE" w:rsidRDefault="00650BF4" w:rsidP="004F0770">
      <w:pPr>
        <w:widowControl/>
        <w:numPr>
          <w:ilvl w:val="0"/>
          <w:numId w:val="4"/>
        </w:numPr>
        <w:tabs>
          <w:tab w:val="left" w:pos="567"/>
          <w:tab w:val="num" w:pos="1569"/>
          <w:tab w:val="num" w:pos="12305"/>
        </w:tabs>
        <w:autoSpaceDE w:val="0"/>
        <w:autoSpaceDN w:val="0"/>
        <w:ind w:left="0" w:firstLine="0"/>
        <w:textAlignment w:val="auto"/>
        <w:rPr>
          <w:bCs/>
          <w:color w:val="000000"/>
          <w:lang w:val="es-ES"/>
        </w:rPr>
      </w:pPr>
      <w:r w:rsidRPr="00F955EE">
        <w:rPr>
          <w:color w:val="000000"/>
          <w:lang w:val="es-ES"/>
        </w:rPr>
        <w:t>La</w:t>
      </w:r>
      <w:r w:rsidRPr="00F955EE">
        <w:rPr>
          <w:i/>
          <w:color w:val="000000"/>
          <w:lang w:val="es-ES"/>
        </w:rPr>
        <w:t xml:space="preserve"> </w:t>
      </w:r>
      <w:r w:rsidRPr="00F955EE">
        <w:rPr>
          <w:b/>
          <w:i/>
          <w:color w:val="000000"/>
          <w:lang w:val="es-ES"/>
        </w:rPr>
        <w:t>Comisión</w:t>
      </w:r>
      <w:r w:rsidRPr="00F955EE">
        <w:rPr>
          <w:i/>
          <w:color w:val="000000"/>
          <w:lang w:val="es-ES"/>
        </w:rPr>
        <w:t xml:space="preserve"> </w:t>
      </w:r>
      <w:r w:rsidRPr="00F955EE">
        <w:rPr>
          <w:color w:val="000000"/>
          <w:lang w:val="es-ES"/>
        </w:rPr>
        <w:t>alegó que</w:t>
      </w:r>
      <w:r w:rsidR="00D75BFE" w:rsidRPr="00F955EE">
        <w:rPr>
          <w:color w:val="000000"/>
          <w:lang w:val="es-ES"/>
        </w:rPr>
        <w:t xml:space="preserve"> </w:t>
      </w:r>
      <w:r w:rsidRPr="00F955EE">
        <w:rPr>
          <w:color w:val="000000"/>
          <w:lang w:val="es-ES"/>
        </w:rPr>
        <w:t xml:space="preserve">la ausencia absoluta de motivación del veredicto y declaratoria de inocencia no </w:t>
      </w:r>
      <w:r w:rsidR="00D75BFE" w:rsidRPr="00F955EE">
        <w:rPr>
          <w:color w:val="000000"/>
          <w:lang w:val="es-ES"/>
        </w:rPr>
        <w:t>permitió</w:t>
      </w:r>
      <w:r w:rsidRPr="00F955EE">
        <w:rPr>
          <w:color w:val="000000"/>
          <w:lang w:val="es-ES"/>
        </w:rPr>
        <w:t xml:space="preserve"> establecer si tanto el proceso como la determinación final estuvieron encaminadas a establecer si el uso letal de la fuerza fue legítimo conforme a los </w:t>
      </w:r>
      <w:r w:rsidRPr="00F955EE">
        <w:rPr>
          <w:color w:val="151515"/>
          <w:lang w:val="es-ES"/>
        </w:rPr>
        <w:t>estándares</w:t>
      </w:r>
      <w:r w:rsidRPr="00F955EE">
        <w:rPr>
          <w:color w:val="000000"/>
          <w:lang w:val="es-ES"/>
        </w:rPr>
        <w:t xml:space="preserve"> de </w:t>
      </w:r>
      <w:r w:rsidRPr="00F955EE">
        <w:rPr>
          <w:lang w:val="es-ES"/>
        </w:rPr>
        <w:t>finalidad</w:t>
      </w:r>
      <w:r w:rsidRPr="00F955EE">
        <w:rPr>
          <w:color w:val="000000"/>
          <w:lang w:val="es-ES"/>
        </w:rPr>
        <w:t xml:space="preserve"> legítima, necesidad y proporcionalidad</w:t>
      </w:r>
      <w:r w:rsidR="00D75BFE" w:rsidRPr="00F955EE">
        <w:rPr>
          <w:color w:val="000000"/>
          <w:lang w:val="es-ES"/>
        </w:rPr>
        <w:t>,</w:t>
      </w:r>
      <w:r w:rsidRPr="00F955EE">
        <w:rPr>
          <w:color w:val="000000"/>
          <w:lang w:val="es-ES"/>
        </w:rPr>
        <w:t xml:space="preserve"> lo que además constituyó una fuente de denegación de justicia</w:t>
      </w:r>
      <w:r w:rsidR="00D75BFE" w:rsidRPr="00F955EE">
        <w:rPr>
          <w:color w:val="000000"/>
          <w:lang w:val="es-ES"/>
        </w:rPr>
        <w:t xml:space="preserve">. </w:t>
      </w:r>
      <w:r w:rsidR="00D75BFE" w:rsidRPr="00F955EE">
        <w:rPr>
          <w:bCs/>
          <w:color w:val="000000"/>
          <w:lang w:val="es-ES"/>
        </w:rPr>
        <w:t>C</w:t>
      </w:r>
      <w:r w:rsidRPr="00F955EE">
        <w:rPr>
          <w:bCs/>
          <w:color w:val="000000"/>
          <w:lang w:val="es-ES"/>
        </w:rPr>
        <w:t>oncluyó que el Estado violó los derechos a las garantías judiciales y protección judicial, consagrad</w:t>
      </w:r>
      <w:r w:rsidR="004C3923">
        <w:rPr>
          <w:bCs/>
          <w:color w:val="000000"/>
          <w:lang w:val="es-ES"/>
        </w:rPr>
        <w:t>o</w:t>
      </w:r>
      <w:r w:rsidRPr="00F955EE">
        <w:rPr>
          <w:bCs/>
          <w:color w:val="000000"/>
          <w:lang w:val="es-ES"/>
        </w:rPr>
        <w:t>s en los artículos 8.1 y 25 de la Convención, en relación con el artículo 1.1 del mismo instrumento.</w:t>
      </w:r>
      <w:r w:rsidR="00D75BFE" w:rsidRPr="00F955EE">
        <w:rPr>
          <w:bCs/>
          <w:color w:val="000000"/>
          <w:lang w:val="es-ES"/>
        </w:rPr>
        <w:t xml:space="preserve"> </w:t>
      </w:r>
      <w:r w:rsidR="000E25B8" w:rsidRPr="00F955EE">
        <w:rPr>
          <w:bCs/>
          <w:color w:val="000000"/>
          <w:lang w:val="es-ES"/>
        </w:rPr>
        <w:t>En sus observaciones finales escritas, la Comisión</w:t>
      </w:r>
      <w:r w:rsidR="000E25B8" w:rsidRPr="00F955EE">
        <w:rPr>
          <w:b/>
          <w:color w:val="000000"/>
          <w:lang w:val="es-ES"/>
        </w:rPr>
        <w:t xml:space="preserve"> </w:t>
      </w:r>
      <w:r w:rsidR="000E25B8" w:rsidRPr="00F955EE">
        <w:rPr>
          <w:bCs/>
          <w:color w:val="000000"/>
          <w:lang w:val="es-ES"/>
        </w:rPr>
        <w:t xml:space="preserve">destacó que, pese a que los veredictos de jurados dictados bajo </w:t>
      </w:r>
      <w:r w:rsidR="00B852B9" w:rsidRPr="00F955EE">
        <w:rPr>
          <w:bCs/>
          <w:color w:val="000000"/>
          <w:lang w:val="es-ES"/>
        </w:rPr>
        <w:t>íntima</w:t>
      </w:r>
      <w:r w:rsidR="000E25B8" w:rsidRPr="00F955EE">
        <w:rPr>
          <w:bCs/>
          <w:color w:val="000000"/>
          <w:lang w:val="es-ES"/>
        </w:rPr>
        <w:t xml:space="preserve"> convicción no son </w:t>
      </w:r>
      <w:r w:rsidR="000E25B8" w:rsidRPr="0080704A">
        <w:rPr>
          <w:bCs/>
          <w:i/>
          <w:iCs/>
          <w:color w:val="000000"/>
          <w:lang w:val="es-ES"/>
        </w:rPr>
        <w:t>per se</w:t>
      </w:r>
      <w:r w:rsidR="000E25B8" w:rsidRPr="00F955EE">
        <w:rPr>
          <w:bCs/>
          <w:color w:val="000000"/>
          <w:lang w:val="es-ES"/>
        </w:rPr>
        <w:t xml:space="preserve"> violatorios de la Convención, lo relevante para que tal resultado no sea arbitrario es que quien valora el veredicto pueda reconstruir, a la luz de las </w:t>
      </w:r>
      <w:r w:rsidR="00B852B9" w:rsidRPr="00F955EE">
        <w:rPr>
          <w:bCs/>
          <w:color w:val="000000"/>
          <w:lang w:val="es-ES"/>
        </w:rPr>
        <w:t>pruebas</w:t>
      </w:r>
      <w:r w:rsidR="000E25B8" w:rsidRPr="00F955EE">
        <w:rPr>
          <w:bCs/>
          <w:color w:val="000000"/>
          <w:lang w:val="es-ES"/>
        </w:rPr>
        <w:t xml:space="preserve"> y el debate de la audiencia, cuál fue el curso lógico de la decisión. Consideró que en el presente caso la decisión absolutoria no satisfizo dicho estándar, toda vez que no se adoptaron salvaguardas para que el resultado del </w:t>
      </w:r>
      <w:r w:rsidR="00B852B9" w:rsidRPr="00F955EE">
        <w:rPr>
          <w:bCs/>
          <w:color w:val="000000"/>
          <w:lang w:val="es-ES"/>
        </w:rPr>
        <w:t>veredicto</w:t>
      </w:r>
      <w:r w:rsidR="000E25B8" w:rsidRPr="00F955EE">
        <w:rPr>
          <w:bCs/>
          <w:color w:val="000000"/>
          <w:lang w:val="es-ES"/>
        </w:rPr>
        <w:t xml:space="preserve"> no resultara arbitrario. Lo anterior, debido a tres razones: (i) se aplicó el mismo Código de Instrucción Criminal de 1897 que ya la Corte analizó en el </w:t>
      </w:r>
      <w:r w:rsidR="000E25B8" w:rsidRPr="0080704A">
        <w:rPr>
          <w:bCs/>
          <w:i/>
          <w:iCs/>
          <w:color w:val="000000"/>
          <w:lang w:val="es-ES"/>
        </w:rPr>
        <w:t>Caso V.R.P. y V.P.C. y otros Vs. Nicaragua</w:t>
      </w:r>
      <w:r w:rsidR="000E25B8" w:rsidRPr="00F955EE">
        <w:rPr>
          <w:bCs/>
          <w:color w:val="000000"/>
          <w:lang w:val="es-ES"/>
        </w:rPr>
        <w:t xml:space="preserve"> y declaró inconvencional; (ii) el tiempo y preparación del que </w:t>
      </w:r>
      <w:r w:rsidR="00B852B9" w:rsidRPr="00F955EE">
        <w:rPr>
          <w:bCs/>
          <w:color w:val="000000"/>
          <w:lang w:val="es-ES"/>
        </w:rPr>
        <w:t>dispuso</w:t>
      </w:r>
      <w:r w:rsidR="000E25B8" w:rsidRPr="00F955EE">
        <w:rPr>
          <w:bCs/>
          <w:color w:val="000000"/>
          <w:lang w:val="es-ES"/>
        </w:rPr>
        <w:t xml:space="preserve"> el jurado para </w:t>
      </w:r>
      <w:r w:rsidR="00B852B9" w:rsidRPr="00F955EE">
        <w:rPr>
          <w:bCs/>
          <w:color w:val="000000"/>
          <w:lang w:val="es-ES"/>
        </w:rPr>
        <w:t>analizar</w:t>
      </w:r>
      <w:r w:rsidR="000E25B8" w:rsidRPr="00F955EE">
        <w:rPr>
          <w:bCs/>
          <w:color w:val="000000"/>
          <w:lang w:val="es-ES"/>
        </w:rPr>
        <w:t xml:space="preserve"> la totalidad de declaraciones y pruebas técnicas del expediente fue de un solo día y (iii) la falta de participación del señor Patricio Fernando Roche Azaña en el proceso fue </w:t>
      </w:r>
      <w:r w:rsidR="00984CC5" w:rsidRPr="00F955EE">
        <w:rPr>
          <w:bCs/>
          <w:color w:val="000000"/>
          <w:lang w:val="es-ES"/>
        </w:rPr>
        <w:t>“</w:t>
      </w:r>
      <w:r w:rsidR="000E25B8" w:rsidRPr="00F955EE">
        <w:rPr>
          <w:bCs/>
          <w:color w:val="000000"/>
          <w:lang w:val="es-ES"/>
        </w:rPr>
        <w:t>un factor más que acredita que las víctimas no pudieran comprender el resultado del proceso</w:t>
      </w:r>
      <w:r w:rsidR="00984CC5" w:rsidRPr="00F955EE">
        <w:rPr>
          <w:bCs/>
          <w:color w:val="000000"/>
          <w:lang w:val="es-ES"/>
        </w:rPr>
        <w:t>”</w:t>
      </w:r>
      <w:r w:rsidR="000E25B8" w:rsidRPr="00F955EE">
        <w:rPr>
          <w:bCs/>
          <w:color w:val="000000"/>
          <w:lang w:val="es-ES"/>
        </w:rPr>
        <w:t xml:space="preserve">. </w:t>
      </w:r>
    </w:p>
    <w:p w14:paraId="0F6062E9" w14:textId="77777777" w:rsidR="00650BF4" w:rsidRPr="00F955EE" w:rsidRDefault="00650BF4" w:rsidP="00650BF4">
      <w:pPr>
        <w:pStyle w:val="Prrafodelista"/>
        <w:autoSpaceDE w:val="0"/>
        <w:autoSpaceDN w:val="0"/>
        <w:spacing w:line="20" w:lineRule="atLeast"/>
        <w:ind w:left="0"/>
        <w:rPr>
          <w:b/>
          <w:bCs/>
          <w:color w:val="000000"/>
          <w:lang w:val="es-ES"/>
        </w:rPr>
      </w:pPr>
    </w:p>
    <w:p w14:paraId="680955B7" w14:textId="79D1A970" w:rsidR="00650BF4" w:rsidRDefault="00650BF4" w:rsidP="004F0770">
      <w:pPr>
        <w:widowControl/>
        <w:numPr>
          <w:ilvl w:val="0"/>
          <w:numId w:val="4"/>
        </w:numPr>
        <w:tabs>
          <w:tab w:val="left" w:pos="567"/>
          <w:tab w:val="num" w:pos="1569"/>
          <w:tab w:val="num" w:pos="12305"/>
        </w:tabs>
        <w:autoSpaceDE w:val="0"/>
        <w:autoSpaceDN w:val="0"/>
        <w:ind w:left="0" w:firstLine="0"/>
        <w:textAlignment w:val="auto"/>
        <w:rPr>
          <w:b/>
          <w:bCs/>
          <w:color w:val="000000"/>
          <w:lang w:val="es-ES"/>
        </w:rPr>
      </w:pPr>
      <w:r w:rsidRPr="000B64C0">
        <w:rPr>
          <w:bCs/>
          <w:color w:val="000000"/>
          <w:lang w:val="es-ES"/>
        </w:rPr>
        <w:t xml:space="preserve">El </w:t>
      </w:r>
      <w:r w:rsidRPr="000B64C0">
        <w:rPr>
          <w:rFonts w:eastAsia="Verdana" w:cs="Verdana"/>
          <w:b/>
          <w:i/>
          <w:lang w:val="es-ES"/>
        </w:rPr>
        <w:t>representante</w:t>
      </w:r>
      <w:r w:rsidRPr="000B64C0">
        <w:rPr>
          <w:bCs/>
          <w:color w:val="000000"/>
          <w:lang w:val="es-ES"/>
        </w:rPr>
        <w:t xml:space="preserve"> se </w:t>
      </w:r>
      <w:r w:rsidRPr="000B64C0">
        <w:rPr>
          <w:lang w:val="es-ES"/>
        </w:rPr>
        <w:t>adhirió</w:t>
      </w:r>
      <w:r w:rsidRPr="000B64C0">
        <w:rPr>
          <w:bCs/>
          <w:color w:val="000000"/>
          <w:lang w:val="es-ES"/>
        </w:rPr>
        <w:t xml:space="preserve"> a los alegatos de la Comisión. </w:t>
      </w:r>
      <w:r w:rsidR="005D6D9C" w:rsidRPr="000B64C0">
        <w:rPr>
          <w:color w:val="000000"/>
          <w:lang w:val="es-ES"/>
        </w:rPr>
        <w:t xml:space="preserve">En sus alegatos finales escritos añadió que resultaba inexplicable que toda la prueba receptada dentro de la investigación -esto es, aproximadamente 100 testimonios-, exámenes periciales sobre el vehículo, exámenes referentes a la reconstrucción de los hechos, exámenes referentes al reconocimiento del </w:t>
      </w:r>
      <w:r w:rsidR="005D6D9C" w:rsidRPr="000B64C0">
        <w:rPr>
          <w:lang w:val="es-ES"/>
        </w:rPr>
        <w:t>lugar</w:t>
      </w:r>
      <w:r w:rsidR="005D6D9C" w:rsidRPr="000B64C0">
        <w:rPr>
          <w:color w:val="000000"/>
          <w:lang w:val="es-ES"/>
        </w:rPr>
        <w:t xml:space="preserve"> de los hechos, y </w:t>
      </w:r>
      <w:r w:rsidR="009F6981" w:rsidRPr="000B64C0">
        <w:rPr>
          <w:color w:val="000000"/>
          <w:lang w:val="es-ES"/>
        </w:rPr>
        <w:t>otra abundante documentación</w:t>
      </w:r>
      <w:r w:rsidR="005D6D9C" w:rsidRPr="000B64C0">
        <w:rPr>
          <w:color w:val="000000"/>
          <w:lang w:val="es-ES"/>
        </w:rPr>
        <w:t xml:space="preserve"> que consta como prueba haya sido analizada por el jurado en tan solo tres horas y media. </w:t>
      </w:r>
    </w:p>
    <w:p w14:paraId="7B5E1430" w14:textId="77777777" w:rsidR="000B64C0" w:rsidRPr="000B64C0" w:rsidRDefault="000B64C0" w:rsidP="000B64C0">
      <w:pPr>
        <w:widowControl/>
        <w:tabs>
          <w:tab w:val="left" w:pos="567"/>
          <w:tab w:val="num" w:pos="12305"/>
        </w:tabs>
        <w:autoSpaceDE w:val="0"/>
        <w:autoSpaceDN w:val="0"/>
        <w:textAlignment w:val="auto"/>
        <w:rPr>
          <w:b/>
          <w:bCs/>
          <w:color w:val="000000"/>
          <w:lang w:val="es-ES"/>
        </w:rPr>
      </w:pPr>
    </w:p>
    <w:p w14:paraId="216EFDD7" w14:textId="61DEDC50" w:rsidR="00650BF4" w:rsidRPr="00F955EE" w:rsidRDefault="00650BF4" w:rsidP="004F0770">
      <w:pPr>
        <w:widowControl/>
        <w:numPr>
          <w:ilvl w:val="0"/>
          <w:numId w:val="4"/>
        </w:numPr>
        <w:tabs>
          <w:tab w:val="left" w:pos="567"/>
          <w:tab w:val="num" w:pos="1569"/>
          <w:tab w:val="num" w:pos="12305"/>
        </w:tabs>
        <w:autoSpaceDE w:val="0"/>
        <w:autoSpaceDN w:val="0"/>
        <w:ind w:left="0" w:firstLine="0"/>
        <w:textAlignment w:val="auto"/>
        <w:rPr>
          <w:lang w:val="es-ES"/>
        </w:rPr>
      </w:pPr>
      <w:r w:rsidRPr="00F955EE">
        <w:rPr>
          <w:lang w:val="es-ES"/>
        </w:rPr>
        <w:t xml:space="preserve">El </w:t>
      </w:r>
      <w:r w:rsidRPr="00F955EE">
        <w:rPr>
          <w:b/>
          <w:i/>
          <w:lang w:val="es-ES"/>
        </w:rPr>
        <w:t>Estado</w:t>
      </w:r>
      <w:r w:rsidRPr="00F955EE">
        <w:rPr>
          <w:lang w:val="es-ES"/>
        </w:rPr>
        <w:t xml:space="preserve"> alegó que</w:t>
      </w:r>
      <w:r w:rsidR="00984CC5" w:rsidRPr="00F955EE">
        <w:rPr>
          <w:lang w:val="es-ES"/>
        </w:rPr>
        <w:t>,</w:t>
      </w:r>
      <w:r w:rsidRPr="00F955EE">
        <w:rPr>
          <w:lang w:val="es-ES"/>
        </w:rPr>
        <w:t xml:space="preserve"> bajo el argumento de la ausencia de motivación</w:t>
      </w:r>
      <w:r w:rsidR="00984CC5" w:rsidRPr="00F955EE">
        <w:rPr>
          <w:lang w:val="es-ES"/>
        </w:rPr>
        <w:t>,</w:t>
      </w:r>
      <w:r w:rsidRPr="00F955EE">
        <w:rPr>
          <w:lang w:val="es-ES"/>
        </w:rPr>
        <w:t xml:space="preserve"> la Comisión y el representante procuran forzar a que la Corte se erija como una “cuarta instancia”</w:t>
      </w:r>
      <w:r w:rsidR="000B64C0">
        <w:rPr>
          <w:lang w:val="es-ES"/>
        </w:rPr>
        <w:t xml:space="preserve">. </w:t>
      </w:r>
      <w:r w:rsidRPr="00F955EE">
        <w:rPr>
          <w:lang w:val="es-ES"/>
        </w:rPr>
        <w:t xml:space="preserve">Añadió que el veredicto del Tribunal de </w:t>
      </w:r>
      <w:r w:rsidR="00B73B1B" w:rsidRPr="00F955EE">
        <w:rPr>
          <w:lang w:val="es-ES"/>
        </w:rPr>
        <w:t>J</w:t>
      </w:r>
      <w:r w:rsidRPr="00F955EE">
        <w:rPr>
          <w:lang w:val="es-ES"/>
        </w:rPr>
        <w:t xml:space="preserve">urados </w:t>
      </w:r>
      <w:r w:rsidR="00984CC5" w:rsidRPr="00F955EE">
        <w:rPr>
          <w:lang w:val="es-ES"/>
        </w:rPr>
        <w:t>se</w:t>
      </w:r>
      <w:r w:rsidRPr="00F955EE">
        <w:rPr>
          <w:lang w:val="es-ES"/>
        </w:rPr>
        <w:t xml:space="preserve"> hizo en estricto respeto a las garantías judiciales y sujeción a los lineamientos del debido procesal legal, por lo que la Corte no puede determinar si el veredicto fue equivocado o injusto, ya que la función de la Corte es garantizar la observancia de las obligaciones asumidas por los Estados parte de la Convención, estando impedida de constituirse en una especie de tribunal de alzada. En este caso, la ausencia de expresión de los fundamentos obedec</w:t>
      </w:r>
      <w:r w:rsidR="00984CC5" w:rsidRPr="00F955EE">
        <w:rPr>
          <w:lang w:val="es-ES"/>
        </w:rPr>
        <w:t>ía</w:t>
      </w:r>
      <w:r w:rsidRPr="00F955EE">
        <w:rPr>
          <w:lang w:val="es-ES"/>
        </w:rPr>
        <w:t xml:space="preserve"> a </w:t>
      </w:r>
      <w:r w:rsidR="00917132" w:rsidRPr="00F955EE">
        <w:rPr>
          <w:lang w:val="es-ES"/>
        </w:rPr>
        <w:t xml:space="preserve">que, </w:t>
      </w:r>
      <w:r w:rsidRPr="00F955EE">
        <w:rPr>
          <w:lang w:val="es-ES"/>
        </w:rPr>
        <w:t xml:space="preserve">conforme a derecho interno y continental, los jurados aprecian las pruebas conforme a su “íntima convicción”. Agregó que el </w:t>
      </w:r>
      <w:r w:rsidR="00B73B1B" w:rsidRPr="00F955EE">
        <w:rPr>
          <w:lang w:val="es-ES"/>
        </w:rPr>
        <w:t>T</w:t>
      </w:r>
      <w:r w:rsidRPr="00F955EE">
        <w:rPr>
          <w:lang w:val="es-ES"/>
        </w:rPr>
        <w:t xml:space="preserve">ribunal de </w:t>
      </w:r>
      <w:r w:rsidR="00B73B1B" w:rsidRPr="00F955EE">
        <w:rPr>
          <w:lang w:val="es-ES"/>
        </w:rPr>
        <w:t>J</w:t>
      </w:r>
      <w:r w:rsidRPr="00F955EE">
        <w:rPr>
          <w:lang w:val="es-ES"/>
        </w:rPr>
        <w:t xml:space="preserve">urados fue previamente instruido sobre el </w:t>
      </w:r>
      <w:r w:rsidRPr="00F955EE">
        <w:rPr>
          <w:color w:val="151515"/>
          <w:lang w:val="es-ES"/>
        </w:rPr>
        <w:t>modo</w:t>
      </w:r>
      <w:r w:rsidRPr="00F955EE">
        <w:rPr>
          <w:lang w:val="es-ES"/>
        </w:rPr>
        <w:t xml:space="preserve"> de valorar la prueba, las garantías de los imputados y principios del proceso. Recalcó que no existen razones para exigir que el Tribunal de Jurados motivara las razones de su veredicto de inocencia, toda vez que los jueces legos ni pueden (porque no están técnicamente capacitados para ello) ni deben motivar (el modelo de jurado puro derivado del </w:t>
      </w:r>
      <w:r w:rsidRPr="00F955EE">
        <w:rPr>
          <w:i/>
          <w:lang w:val="es-ES"/>
        </w:rPr>
        <w:t>common law</w:t>
      </w:r>
      <w:r w:rsidRPr="00F955EE">
        <w:rPr>
          <w:lang w:val="es-ES"/>
        </w:rPr>
        <w:t xml:space="preserve"> no </w:t>
      </w:r>
      <w:r w:rsidRPr="00F955EE">
        <w:rPr>
          <w:lang w:val="es-ES"/>
        </w:rPr>
        <w:lastRenderedPageBreak/>
        <w:t>motiva sus resoluciones, nunca lo ha hecho, y ese es precisamente uno de los elementos que lo caracteriza).</w:t>
      </w:r>
      <w:r w:rsidRPr="00F955EE">
        <w:rPr>
          <w:b/>
          <w:lang w:val="es-ES"/>
        </w:rPr>
        <w:t xml:space="preserve"> </w:t>
      </w:r>
    </w:p>
    <w:p w14:paraId="7B02D327" w14:textId="493684C9" w:rsidR="005C3457" w:rsidRPr="00F955EE" w:rsidRDefault="005C3457" w:rsidP="005C3457">
      <w:pPr>
        <w:pStyle w:val="Ttulo3"/>
        <w:rPr>
          <w:lang w:val="es-ES"/>
        </w:rPr>
      </w:pPr>
      <w:r w:rsidRPr="00F955EE">
        <w:rPr>
          <w:lang w:val="es-ES"/>
        </w:rPr>
        <w:tab/>
      </w:r>
      <w:bookmarkStart w:id="49" w:name="_Toc43216160"/>
      <w:r w:rsidR="004D5DA8" w:rsidRPr="00F955EE">
        <w:rPr>
          <w:lang w:val="es-ES"/>
        </w:rPr>
        <w:t>a</w:t>
      </w:r>
      <w:r w:rsidRPr="00F955EE">
        <w:rPr>
          <w:lang w:val="es-ES"/>
        </w:rPr>
        <w:t>.3 Ausencia de recurso contra el veredicto absolutorio</w:t>
      </w:r>
      <w:bookmarkEnd w:id="49"/>
    </w:p>
    <w:p w14:paraId="1D698428" w14:textId="207C758D" w:rsidR="00650BF4" w:rsidRPr="00F955EE" w:rsidRDefault="00650BF4" w:rsidP="004F0770">
      <w:pPr>
        <w:widowControl/>
        <w:numPr>
          <w:ilvl w:val="0"/>
          <w:numId w:val="4"/>
        </w:numPr>
        <w:tabs>
          <w:tab w:val="left" w:pos="567"/>
          <w:tab w:val="num" w:pos="1569"/>
          <w:tab w:val="num" w:pos="12305"/>
        </w:tabs>
        <w:autoSpaceDE w:val="0"/>
        <w:autoSpaceDN w:val="0"/>
        <w:ind w:left="0" w:firstLine="0"/>
        <w:textAlignment w:val="auto"/>
        <w:rPr>
          <w:lang w:val="es-ES"/>
        </w:rPr>
      </w:pPr>
      <w:r w:rsidRPr="00F955EE">
        <w:rPr>
          <w:lang w:val="es-ES"/>
        </w:rPr>
        <w:t xml:space="preserve">La </w:t>
      </w:r>
      <w:r w:rsidRPr="00F955EE">
        <w:rPr>
          <w:b/>
          <w:i/>
          <w:lang w:val="es-ES"/>
        </w:rPr>
        <w:t xml:space="preserve">Comisión </w:t>
      </w:r>
      <w:r w:rsidRPr="00F955EE">
        <w:rPr>
          <w:lang w:val="es-ES"/>
        </w:rPr>
        <w:t xml:space="preserve">sostuvo que la legislación nicaragüense establecía la imposibilidad de apelar el veredicto del Tribunal de Jurados, por lo que el </w:t>
      </w:r>
      <w:r w:rsidRPr="00F955EE">
        <w:rPr>
          <w:rFonts w:eastAsia="Verdana" w:cs="Verdana"/>
          <w:lang w:val="es-ES"/>
        </w:rPr>
        <w:t>procedimiento</w:t>
      </w:r>
      <w:r w:rsidRPr="00F955EE">
        <w:rPr>
          <w:lang w:val="es-ES"/>
        </w:rPr>
        <w:t xml:space="preserve"> no ofreció las garantías suficientes para escrutar tal decisión y asegurar que la misma no fuera arbitraria ni </w:t>
      </w:r>
      <w:r w:rsidRPr="00F955EE">
        <w:rPr>
          <w:color w:val="151515"/>
          <w:lang w:val="es-ES"/>
        </w:rPr>
        <w:t>violatoria</w:t>
      </w:r>
      <w:r w:rsidRPr="00F955EE">
        <w:rPr>
          <w:lang w:val="es-ES"/>
        </w:rPr>
        <w:t xml:space="preserve"> de los derechos a las garantías judiciales y a la protección judicial</w:t>
      </w:r>
      <w:r w:rsidR="0080704A">
        <w:rPr>
          <w:lang w:val="es-ES"/>
        </w:rPr>
        <w:t>.</w:t>
      </w:r>
    </w:p>
    <w:p w14:paraId="73FFAEEC" w14:textId="77777777" w:rsidR="00650BF4" w:rsidRPr="00F955EE" w:rsidRDefault="00650BF4" w:rsidP="00650BF4">
      <w:pPr>
        <w:pStyle w:val="Prrafodelista"/>
        <w:autoSpaceDE w:val="0"/>
        <w:autoSpaceDN w:val="0"/>
        <w:spacing w:line="20" w:lineRule="atLeast"/>
        <w:ind w:left="0"/>
        <w:rPr>
          <w:lang w:val="es-ES"/>
        </w:rPr>
      </w:pPr>
    </w:p>
    <w:p w14:paraId="32E67D02" w14:textId="662739F4" w:rsidR="00650BF4" w:rsidRPr="00F955EE" w:rsidRDefault="00650BF4" w:rsidP="004F0770">
      <w:pPr>
        <w:widowControl/>
        <w:numPr>
          <w:ilvl w:val="0"/>
          <w:numId w:val="4"/>
        </w:numPr>
        <w:tabs>
          <w:tab w:val="left" w:pos="567"/>
          <w:tab w:val="num" w:pos="1569"/>
          <w:tab w:val="num" w:pos="12305"/>
        </w:tabs>
        <w:autoSpaceDE w:val="0"/>
        <w:autoSpaceDN w:val="0"/>
        <w:ind w:left="0" w:firstLine="0"/>
        <w:textAlignment w:val="auto"/>
        <w:rPr>
          <w:lang w:val="es-ES"/>
        </w:rPr>
      </w:pPr>
      <w:r w:rsidRPr="00F955EE">
        <w:rPr>
          <w:lang w:val="es-ES"/>
        </w:rPr>
        <w:t xml:space="preserve">El </w:t>
      </w:r>
      <w:r w:rsidRPr="00F955EE">
        <w:rPr>
          <w:rFonts w:eastAsia="Verdana" w:cs="Verdana"/>
          <w:b/>
          <w:i/>
          <w:lang w:val="es-ES"/>
        </w:rPr>
        <w:t>representante</w:t>
      </w:r>
      <w:r w:rsidRPr="00F955EE">
        <w:rPr>
          <w:lang w:val="es-ES"/>
        </w:rPr>
        <w:t xml:space="preserve"> se adhirió a las consideraciones formuladas por la Comisión. </w:t>
      </w:r>
    </w:p>
    <w:p w14:paraId="4F569782" w14:textId="77777777" w:rsidR="00650BF4" w:rsidRPr="00F955EE" w:rsidRDefault="00650BF4" w:rsidP="00650BF4">
      <w:pPr>
        <w:pStyle w:val="Prrafodelista"/>
        <w:autoSpaceDE w:val="0"/>
        <w:autoSpaceDN w:val="0"/>
        <w:spacing w:line="20" w:lineRule="atLeast"/>
        <w:ind w:left="0"/>
        <w:rPr>
          <w:lang w:val="es-ES"/>
        </w:rPr>
      </w:pPr>
    </w:p>
    <w:p w14:paraId="2C6E071E" w14:textId="07278FE3" w:rsidR="00650BF4" w:rsidRPr="00F955EE" w:rsidRDefault="00650BF4" w:rsidP="004F0770">
      <w:pPr>
        <w:widowControl/>
        <w:numPr>
          <w:ilvl w:val="0"/>
          <w:numId w:val="4"/>
        </w:numPr>
        <w:tabs>
          <w:tab w:val="left" w:pos="567"/>
          <w:tab w:val="num" w:pos="1569"/>
          <w:tab w:val="num" w:pos="12305"/>
        </w:tabs>
        <w:autoSpaceDE w:val="0"/>
        <w:autoSpaceDN w:val="0"/>
        <w:ind w:left="0" w:firstLine="0"/>
        <w:textAlignment w:val="auto"/>
        <w:rPr>
          <w:lang w:val="es-ES"/>
        </w:rPr>
      </w:pPr>
      <w:r w:rsidRPr="00F955EE">
        <w:rPr>
          <w:lang w:val="es-ES"/>
        </w:rPr>
        <w:t xml:space="preserve">El </w:t>
      </w:r>
      <w:r w:rsidRPr="00F955EE">
        <w:rPr>
          <w:b/>
          <w:i/>
          <w:lang w:val="es-ES"/>
        </w:rPr>
        <w:t xml:space="preserve">Estado </w:t>
      </w:r>
      <w:r w:rsidRPr="00F955EE">
        <w:rPr>
          <w:lang w:val="es-ES"/>
        </w:rPr>
        <w:t>alegó</w:t>
      </w:r>
      <w:r w:rsidR="004E42FE" w:rsidRPr="00F955EE">
        <w:rPr>
          <w:lang w:val="es-ES"/>
        </w:rPr>
        <w:t xml:space="preserve"> que la revisión de los veredictos emanados de jurados populares resulta objetivamente imposible dado el hecho de que su decisión es inmotivada. Añadió</w:t>
      </w:r>
      <w:r w:rsidRPr="00F955EE">
        <w:rPr>
          <w:lang w:val="es-ES"/>
        </w:rPr>
        <w:t xml:space="preserve"> que el derecho al recurso está reconocido a favor de las personas inculpadas </w:t>
      </w:r>
      <w:r w:rsidRPr="00F955EE">
        <w:rPr>
          <w:rFonts w:eastAsia="Verdana" w:cs="Verdana"/>
          <w:lang w:val="es-ES"/>
        </w:rPr>
        <w:t>por</w:t>
      </w:r>
      <w:r w:rsidRPr="00F955EE">
        <w:rPr>
          <w:lang w:val="es-ES"/>
        </w:rPr>
        <w:t xml:space="preserve"> el delito, y más respecto de aquella declarada culpable, </w:t>
      </w:r>
      <w:r w:rsidR="009F6981" w:rsidRPr="00F955EE">
        <w:rPr>
          <w:lang w:val="es-ES"/>
        </w:rPr>
        <w:t>de acuerdo con</w:t>
      </w:r>
      <w:r w:rsidRPr="00F955EE">
        <w:rPr>
          <w:lang w:val="es-ES"/>
        </w:rPr>
        <w:t xml:space="preserve"> la Convención Americana, por lo que el acceso a la jurisdicción no implica obligatoriamente el derecho a ejercer la vía recursiva. Por otro lado, señaló que el veredicto como acto legítimo de la administración de justicia por la población es irrecurrible, y su decisión no puede ser </w:t>
      </w:r>
      <w:r w:rsidR="009F6981" w:rsidRPr="00F955EE">
        <w:rPr>
          <w:lang w:val="es-ES"/>
        </w:rPr>
        <w:t>reexaminada</w:t>
      </w:r>
      <w:r w:rsidRPr="00F955EE">
        <w:rPr>
          <w:lang w:val="es-ES"/>
        </w:rPr>
        <w:t xml:space="preserve"> por un tribunal letrado en un trámite de apelación</w:t>
      </w:r>
      <w:r w:rsidR="004E42FE" w:rsidRPr="00F955EE">
        <w:rPr>
          <w:lang w:val="es-ES"/>
        </w:rPr>
        <w:t>,</w:t>
      </w:r>
      <w:r w:rsidRPr="00F955EE">
        <w:rPr>
          <w:lang w:val="es-ES"/>
        </w:rPr>
        <w:t xml:space="preserve"> puesto que emana de quien es el único soberano en la república</w:t>
      </w:r>
      <w:r w:rsidR="00B23B67" w:rsidRPr="00F955EE">
        <w:rPr>
          <w:lang w:val="es-ES"/>
        </w:rPr>
        <w:t xml:space="preserve">, </w:t>
      </w:r>
      <w:r w:rsidRPr="00F955EE">
        <w:rPr>
          <w:lang w:val="es-ES"/>
        </w:rPr>
        <w:t xml:space="preserve">el pueblo. </w:t>
      </w:r>
    </w:p>
    <w:p w14:paraId="5FFA584F" w14:textId="0A4DB3B2" w:rsidR="00EE77EB" w:rsidRPr="00F955EE" w:rsidRDefault="00EE77EB" w:rsidP="00EE77EB">
      <w:pPr>
        <w:pStyle w:val="Ttulo2"/>
        <w:rPr>
          <w:lang w:val="es-ES"/>
        </w:rPr>
      </w:pPr>
      <w:bookmarkStart w:id="50" w:name="_Toc495658692"/>
      <w:bookmarkStart w:id="51" w:name="_Toc514172660"/>
      <w:bookmarkStart w:id="52" w:name="_Toc24014572"/>
      <w:bookmarkStart w:id="53" w:name="_Toc43216161"/>
      <w:r w:rsidRPr="00F955EE">
        <w:rPr>
          <w:lang w:val="es-ES"/>
        </w:rPr>
        <w:t>B.</w:t>
      </w:r>
      <w:r w:rsidRPr="00F955EE">
        <w:rPr>
          <w:lang w:val="es-ES"/>
        </w:rPr>
        <w:tab/>
        <w:t>Consideraciones de la Corte</w:t>
      </w:r>
      <w:bookmarkEnd w:id="50"/>
      <w:bookmarkEnd w:id="51"/>
      <w:bookmarkEnd w:id="52"/>
      <w:bookmarkEnd w:id="53"/>
    </w:p>
    <w:p w14:paraId="221AA53E" w14:textId="3ACDE0DF" w:rsidR="00EE77EB" w:rsidRPr="00F955EE" w:rsidRDefault="00EE77EB" w:rsidP="00EE77EB">
      <w:pPr>
        <w:pStyle w:val="Ttulo3"/>
        <w:rPr>
          <w:lang w:val="es-ES"/>
        </w:rPr>
      </w:pPr>
      <w:r w:rsidRPr="00F955EE">
        <w:rPr>
          <w:lang w:val="es-ES"/>
        </w:rPr>
        <w:tab/>
      </w:r>
      <w:bookmarkStart w:id="54" w:name="_Toc43216162"/>
      <w:r w:rsidRPr="00F955EE">
        <w:rPr>
          <w:lang w:val="es-ES"/>
        </w:rPr>
        <w:t xml:space="preserve">b.1 </w:t>
      </w:r>
      <w:r w:rsidR="00CD42CE">
        <w:rPr>
          <w:lang w:val="es-ES"/>
        </w:rPr>
        <w:t>Falta de p</w:t>
      </w:r>
      <w:r w:rsidRPr="00F955EE">
        <w:rPr>
          <w:lang w:val="es-ES"/>
        </w:rPr>
        <w:t xml:space="preserve">articipación </w:t>
      </w:r>
      <w:r w:rsidR="005C3457" w:rsidRPr="00F955EE">
        <w:rPr>
          <w:lang w:val="es-ES"/>
        </w:rPr>
        <w:t xml:space="preserve">del señor Patricio Fernando </w:t>
      </w:r>
      <w:r w:rsidRPr="00F955EE">
        <w:rPr>
          <w:lang w:val="es-ES"/>
        </w:rPr>
        <w:t xml:space="preserve">Roche Azaña </w:t>
      </w:r>
      <w:r w:rsidR="002C7313" w:rsidRPr="00F955EE">
        <w:rPr>
          <w:lang w:val="es-ES"/>
        </w:rPr>
        <w:t xml:space="preserve">y de sus familiares </w:t>
      </w:r>
      <w:r w:rsidR="005C3457" w:rsidRPr="00F955EE">
        <w:rPr>
          <w:lang w:val="es-ES"/>
        </w:rPr>
        <w:t>en el procedimiento penal</w:t>
      </w:r>
      <w:bookmarkEnd w:id="54"/>
      <w:r w:rsidR="00D12B9C" w:rsidRPr="00F955EE">
        <w:rPr>
          <w:lang w:val="es-ES"/>
        </w:rPr>
        <w:t xml:space="preserve"> </w:t>
      </w:r>
    </w:p>
    <w:p w14:paraId="05486F2D" w14:textId="7976B952" w:rsidR="00332B1B" w:rsidRPr="00F955EE" w:rsidRDefault="00332B1B" w:rsidP="004F0770">
      <w:pPr>
        <w:widowControl/>
        <w:numPr>
          <w:ilvl w:val="0"/>
          <w:numId w:val="4"/>
        </w:numPr>
        <w:tabs>
          <w:tab w:val="left" w:pos="567"/>
          <w:tab w:val="num" w:pos="1569"/>
          <w:tab w:val="num" w:pos="12305"/>
        </w:tabs>
        <w:adjustRightInd/>
        <w:ind w:left="0" w:firstLine="0"/>
        <w:textAlignment w:val="auto"/>
        <w:rPr>
          <w:rFonts w:eastAsiaTheme="minorHAnsi" w:cstheme="minorBidi"/>
          <w:lang w:val="es-AR" w:eastAsia="en-US"/>
        </w:rPr>
      </w:pPr>
      <w:r w:rsidRPr="00F955EE">
        <w:t>La Corte ha establecido que, de conformidad con la Convención Americana, los Estados Partes están obligados a suministrar recursos judiciales efectivos a las víctimas de violaciones a los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F955EE">
        <w:rPr>
          <w:rStyle w:val="Refdenotaalpie"/>
          <w:lang w:val="es-AR"/>
        </w:rPr>
        <w:footnoteReference w:id="105"/>
      </w:r>
      <w:r w:rsidRPr="00F955EE">
        <w:t>. Asimismo, ha señalado que el derecho de acceso a la justicia debe asegurar, en tiempo razonable, el derecho de las presuntas víctimas o sus familiares a que se haga todo lo necesario para conocer la verdad de lo sucedido e investigar, juzgar y, en su caso, sancionar a los eventuales responsables</w:t>
      </w:r>
      <w:r w:rsidRPr="00F955EE">
        <w:rPr>
          <w:rStyle w:val="Refdenotaalpie"/>
          <w:lang w:val="es-AR"/>
        </w:rPr>
        <w:footnoteReference w:id="106"/>
      </w:r>
      <w:r w:rsidRPr="00F955EE">
        <w:t>.</w:t>
      </w:r>
    </w:p>
    <w:p w14:paraId="388CF523" w14:textId="77777777" w:rsidR="00360F57" w:rsidRPr="00F955EE" w:rsidRDefault="00360F57" w:rsidP="00063927">
      <w:pPr>
        <w:widowControl/>
        <w:tabs>
          <w:tab w:val="left" w:pos="567"/>
        </w:tabs>
        <w:adjustRightInd/>
        <w:textAlignment w:val="auto"/>
        <w:rPr>
          <w:sz w:val="24"/>
          <w:szCs w:val="24"/>
          <w:lang w:val="es-ES" w:eastAsia="es-ES_tradnl"/>
        </w:rPr>
      </w:pPr>
    </w:p>
    <w:p w14:paraId="3FC7B33F" w14:textId="344AA339" w:rsidR="003A55B9" w:rsidRPr="00F955EE" w:rsidRDefault="00360F57" w:rsidP="004F0770">
      <w:pPr>
        <w:numPr>
          <w:ilvl w:val="0"/>
          <w:numId w:val="4"/>
        </w:numPr>
        <w:tabs>
          <w:tab w:val="left" w:pos="567"/>
          <w:tab w:val="num" w:pos="12305"/>
        </w:tabs>
        <w:ind w:left="0" w:firstLine="0"/>
        <w:rPr>
          <w:sz w:val="24"/>
          <w:szCs w:val="24"/>
          <w:lang w:val="es-ES" w:eastAsia="es-ES_tradnl"/>
        </w:rPr>
      </w:pPr>
      <w:r w:rsidRPr="00F955EE">
        <w:rPr>
          <w:lang w:val="es-ES" w:eastAsia="es-ES_tradnl"/>
        </w:rPr>
        <w:t>Por otro lado, e</w:t>
      </w:r>
      <w:r w:rsidR="00EF5EBB" w:rsidRPr="00F955EE">
        <w:rPr>
          <w:lang w:val="es-ES" w:eastAsia="es-ES_tradnl"/>
        </w:rPr>
        <w:t xml:space="preserve">sta Corte ha desarrollado el derecho a ser </w:t>
      </w:r>
      <w:r w:rsidR="00A11D6C" w:rsidRPr="00F955EE">
        <w:rPr>
          <w:lang w:val="es-ES" w:eastAsia="es-ES_tradnl"/>
        </w:rPr>
        <w:t>oído</w:t>
      </w:r>
      <w:r w:rsidR="00EF5EBB" w:rsidRPr="00F955EE">
        <w:rPr>
          <w:lang w:val="es-ES" w:eastAsia="es-ES_tradnl"/>
        </w:rPr>
        <w:t xml:space="preserve">, previsto en el </w:t>
      </w:r>
      <w:r w:rsidR="00B23B67" w:rsidRPr="00F955EE">
        <w:rPr>
          <w:lang w:val="es-ES" w:eastAsia="es-ES_tradnl"/>
        </w:rPr>
        <w:t>articulo</w:t>
      </w:r>
      <w:r w:rsidR="00EF5EBB" w:rsidRPr="00F955EE">
        <w:rPr>
          <w:lang w:val="es-ES" w:eastAsia="es-ES_tradnl"/>
        </w:rPr>
        <w:t xml:space="preserve"> 8.1 de la </w:t>
      </w:r>
      <w:r w:rsidR="00A11D6C" w:rsidRPr="00F955EE">
        <w:rPr>
          <w:lang w:val="es-ES" w:eastAsia="es-ES_tradnl"/>
        </w:rPr>
        <w:t>Convención</w:t>
      </w:r>
      <w:r w:rsidR="00EF5EBB" w:rsidRPr="00F955EE">
        <w:rPr>
          <w:lang w:val="es-ES" w:eastAsia="es-ES_tradnl"/>
        </w:rPr>
        <w:t xml:space="preserve">, en el sentido general de comprender el derecho de toda persona a tener acceso al tribunal u </w:t>
      </w:r>
      <w:r w:rsidR="00A11D6C" w:rsidRPr="00F955EE">
        <w:rPr>
          <w:lang w:val="es-ES" w:eastAsia="es-ES_tradnl"/>
        </w:rPr>
        <w:t>órgano</w:t>
      </w:r>
      <w:r w:rsidR="00EF5EBB" w:rsidRPr="00F955EE">
        <w:rPr>
          <w:lang w:val="es-ES" w:eastAsia="es-ES_tradnl"/>
        </w:rPr>
        <w:t xml:space="preserve"> estatal encargado de determinar sus derechos y obligaciones</w:t>
      </w:r>
      <w:r w:rsidR="00EF5EBB" w:rsidRPr="00F955EE">
        <w:rPr>
          <w:rStyle w:val="Refdenotaalpie"/>
          <w:lang w:val="es-ES" w:eastAsia="es-ES_tradnl"/>
        </w:rPr>
        <w:footnoteReference w:id="107"/>
      </w:r>
      <w:r w:rsidR="00EF5EBB" w:rsidRPr="00F955EE">
        <w:rPr>
          <w:lang w:val="es-ES" w:eastAsia="es-ES_tradnl"/>
        </w:rPr>
        <w:t xml:space="preserve">. La Corte ha reconocido que el derecho a ser </w:t>
      </w:r>
      <w:r w:rsidR="00A11D6C" w:rsidRPr="00F955EE">
        <w:rPr>
          <w:lang w:val="es-ES" w:eastAsia="es-ES_tradnl"/>
        </w:rPr>
        <w:t>oído</w:t>
      </w:r>
      <w:r w:rsidR="00EF5EBB" w:rsidRPr="00F955EE">
        <w:rPr>
          <w:lang w:val="es-ES" w:eastAsia="es-ES_tradnl"/>
        </w:rPr>
        <w:t xml:space="preserve"> comprende dos </w:t>
      </w:r>
      <w:r w:rsidR="00A11D6C" w:rsidRPr="00F955EE">
        <w:rPr>
          <w:lang w:val="es-ES"/>
        </w:rPr>
        <w:t>ámbitos</w:t>
      </w:r>
      <w:r w:rsidR="00EF5EBB" w:rsidRPr="00F955EE">
        <w:rPr>
          <w:lang w:val="es-ES" w:eastAsia="es-ES_tradnl"/>
        </w:rPr>
        <w:t xml:space="preserve">: por un lado, un </w:t>
      </w:r>
      <w:r w:rsidR="00A11D6C" w:rsidRPr="00F955EE">
        <w:rPr>
          <w:lang w:val="es-ES" w:eastAsia="es-ES_tradnl"/>
        </w:rPr>
        <w:t>ámbito</w:t>
      </w:r>
      <w:r w:rsidR="00EF5EBB" w:rsidRPr="00F955EE">
        <w:rPr>
          <w:lang w:val="es-ES" w:eastAsia="es-ES_tradnl"/>
        </w:rPr>
        <w:t xml:space="preserve"> formal y procesal de asegurar el acceso al </w:t>
      </w:r>
      <w:r w:rsidR="00A11D6C" w:rsidRPr="00F955EE">
        <w:rPr>
          <w:lang w:val="es-ES" w:eastAsia="es-ES_tradnl"/>
        </w:rPr>
        <w:t>órgano</w:t>
      </w:r>
      <w:r w:rsidR="00EF5EBB" w:rsidRPr="00F955EE">
        <w:rPr>
          <w:lang w:val="es-ES" w:eastAsia="es-ES_tradnl"/>
        </w:rPr>
        <w:t xml:space="preserve"> competente para que determine el derecho que se reclama en apego a las debidas </w:t>
      </w:r>
      <w:r w:rsidR="00A11D6C" w:rsidRPr="00F955EE">
        <w:rPr>
          <w:lang w:val="es-ES" w:eastAsia="es-ES_tradnl"/>
        </w:rPr>
        <w:t>garantías</w:t>
      </w:r>
      <w:r w:rsidR="00EF5EBB" w:rsidRPr="00F955EE">
        <w:rPr>
          <w:lang w:val="es-ES" w:eastAsia="es-ES_tradnl"/>
        </w:rPr>
        <w:t xml:space="preserve"> procesales (tales como la </w:t>
      </w:r>
      <w:r w:rsidR="00B23B67" w:rsidRPr="00F955EE">
        <w:rPr>
          <w:lang w:val="es-ES" w:eastAsia="es-ES_tradnl"/>
        </w:rPr>
        <w:t>presentación</w:t>
      </w:r>
      <w:r w:rsidR="00EF5EBB" w:rsidRPr="00F955EE">
        <w:rPr>
          <w:lang w:val="es-ES" w:eastAsia="es-ES_tradnl"/>
        </w:rPr>
        <w:t xml:space="preserve"> de alegatos</w:t>
      </w:r>
      <w:r w:rsidR="004C3923">
        <w:rPr>
          <w:lang w:val="es-ES" w:eastAsia="es-ES_tradnl"/>
        </w:rPr>
        <w:t>,</w:t>
      </w:r>
      <w:r w:rsidR="00EF5EBB" w:rsidRPr="00F955EE">
        <w:rPr>
          <w:lang w:val="es-ES" w:eastAsia="es-ES_tradnl"/>
        </w:rPr>
        <w:t xml:space="preserve"> </w:t>
      </w:r>
      <w:r w:rsidR="003222C7">
        <w:rPr>
          <w:lang w:val="es-ES" w:eastAsia="es-ES_tradnl"/>
        </w:rPr>
        <w:t>hacer planteamientos,</w:t>
      </w:r>
      <w:r w:rsidR="003222C7" w:rsidRPr="00F955EE">
        <w:rPr>
          <w:lang w:val="es-ES" w:eastAsia="es-ES_tradnl"/>
        </w:rPr>
        <w:t xml:space="preserve"> aportación de prueba</w:t>
      </w:r>
      <w:r w:rsidR="003222C7">
        <w:rPr>
          <w:lang w:val="es-ES" w:eastAsia="es-ES_tradnl"/>
        </w:rPr>
        <w:t xml:space="preserve"> y, en síntesis, hacer valer sus derechos</w:t>
      </w:r>
      <w:r w:rsidR="00EF5EBB" w:rsidRPr="00F955EE">
        <w:rPr>
          <w:lang w:val="es-ES" w:eastAsia="es-ES_tradnl"/>
        </w:rPr>
        <w:t xml:space="preserve">). Por otra parte, ese derecho abarca un </w:t>
      </w:r>
      <w:r w:rsidR="00A11D6C" w:rsidRPr="00F955EE">
        <w:rPr>
          <w:lang w:val="es-ES" w:eastAsia="es-ES_tradnl"/>
        </w:rPr>
        <w:t>ámbito</w:t>
      </w:r>
      <w:r w:rsidR="00EF5EBB" w:rsidRPr="00F955EE">
        <w:rPr>
          <w:lang w:val="es-ES" w:eastAsia="es-ES_tradnl"/>
        </w:rPr>
        <w:t xml:space="preserve"> de </w:t>
      </w:r>
      <w:r w:rsidR="00A11D6C" w:rsidRPr="00F955EE">
        <w:rPr>
          <w:lang w:val="es-ES" w:eastAsia="es-ES_tradnl"/>
        </w:rPr>
        <w:t>protección</w:t>
      </w:r>
      <w:r w:rsidR="00EF5EBB" w:rsidRPr="00F955EE">
        <w:rPr>
          <w:lang w:val="es-ES" w:eastAsia="es-ES_tradnl"/>
        </w:rPr>
        <w:t xml:space="preserve"> material que implica que el Estado garantice que la </w:t>
      </w:r>
      <w:r w:rsidR="00A11D6C" w:rsidRPr="00F955EE">
        <w:rPr>
          <w:lang w:val="es-ES" w:eastAsia="es-ES_tradnl"/>
        </w:rPr>
        <w:t>decisión</w:t>
      </w:r>
      <w:r w:rsidR="00EF5EBB" w:rsidRPr="00F955EE">
        <w:rPr>
          <w:lang w:val="es-ES" w:eastAsia="es-ES_tradnl"/>
        </w:rPr>
        <w:t xml:space="preserve"> se produzca a </w:t>
      </w:r>
      <w:r w:rsidR="00A11D6C" w:rsidRPr="00F955EE">
        <w:rPr>
          <w:lang w:val="es-ES" w:eastAsia="es-ES_tradnl"/>
        </w:rPr>
        <w:t>través</w:t>
      </w:r>
      <w:r w:rsidR="00EF5EBB" w:rsidRPr="00F955EE">
        <w:rPr>
          <w:lang w:val="es-ES" w:eastAsia="es-ES_tradnl"/>
        </w:rPr>
        <w:t xml:space="preserve"> de un procedimiento que</w:t>
      </w:r>
      <w:r w:rsidR="00817528" w:rsidRPr="00F955EE">
        <w:rPr>
          <w:lang w:val="es-ES" w:eastAsia="es-ES_tradnl"/>
        </w:rPr>
        <w:t xml:space="preserve"> </w:t>
      </w:r>
      <w:r w:rsidR="00EF5EBB" w:rsidRPr="00F955EE">
        <w:rPr>
          <w:lang w:val="es-ES" w:eastAsia="es-ES_tradnl"/>
        </w:rPr>
        <w:t xml:space="preserve">satisfaga el fin para el cual fue </w:t>
      </w:r>
      <w:r w:rsidR="00EF5EBB" w:rsidRPr="00F955EE">
        <w:rPr>
          <w:lang w:val="es-ES" w:eastAsia="es-ES_tradnl"/>
        </w:rPr>
        <w:lastRenderedPageBreak/>
        <w:t>concebido</w:t>
      </w:r>
      <w:r w:rsidR="00EF5EBB" w:rsidRPr="00F955EE">
        <w:rPr>
          <w:rStyle w:val="Refdenotaalpie"/>
          <w:lang w:val="es-ES" w:eastAsia="es-ES_tradnl"/>
        </w:rPr>
        <w:footnoteReference w:id="108"/>
      </w:r>
      <w:r w:rsidR="00EF5EBB" w:rsidRPr="00F955EE">
        <w:rPr>
          <w:lang w:val="es-ES" w:eastAsia="es-ES_tradnl"/>
        </w:rPr>
        <w:t>.</w:t>
      </w:r>
    </w:p>
    <w:p w14:paraId="480C9009" w14:textId="788E1980" w:rsidR="00EE77EB" w:rsidRPr="00F955EE" w:rsidRDefault="00EF5EBB" w:rsidP="002E36BB">
      <w:pPr>
        <w:tabs>
          <w:tab w:val="left" w:pos="567"/>
        </w:tabs>
        <w:rPr>
          <w:sz w:val="24"/>
          <w:szCs w:val="24"/>
          <w:lang w:val="es-ES" w:eastAsia="es-ES_tradnl"/>
        </w:rPr>
      </w:pPr>
      <w:r w:rsidRPr="00F955EE">
        <w:rPr>
          <w:lang w:val="es-ES" w:eastAsia="es-ES_tradnl"/>
        </w:rPr>
        <w:t xml:space="preserve"> </w:t>
      </w:r>
    </w:p>
    <w:p w14:paraId="191CE64B" w14:textId="5026186D" w:rsidR="00CB2F47" w:rsidRPr="00F955EE" w:rsidRDefault="00B23B67" w:rsidP="004F0770">
      <w:pPr>
        <w:numPr>
          <w:ilvl w:val="0"/>
          <w:numId w:val="4"/>
        </w:numPr>
        <w:tabs>
          <w:tab w:val="left" w:pos="567"/>
          <w:tab w:val="num" w:pos="12305"/>
        </w:tabs>
        <w:ind w:left="0" w:firstLine="0"/>
        <w:rPr>
          <w:rFonts w:eastAsiaTheme="minorHAnsi" w:cs="Arial"/>
          <w:lang w:val="es-ES" w:eastAsia="en-US"/>
        </w:rPr>
      </w:pPr>
      <w:r w:rsidRPr="00F955EE">
        <w:rPr>
          <w:lang w:val="es-ES"/>
        </w:rPr>
        <w:t>La Corte observa que e</w:t>
      </w:r>
      <w:r w:rsidR="00EE77EB" w:rsidRPr="00F955EE">
        <w:rPr>
          <w:lang w:val="es-ES"/>
        </w:rPr>
        <w:t>l señor Patricio Fernando Roche Azaña</w:t>
      </w:r>
      <w:r w:rsidRPr="00F955EE">
        <w:rPr>
          <w:lang w:val="es-ES"/>
        </w:rPr>
        <w:t>, víctima en el marco del procedimiento penal seguido contra los agentes estatales que dispararon contra la furgoneta el 14 de abril de 1996, no fue parte de dicho procedimiento</w:t>
      </w:r>
      <w:r w:rsidR="007E2F88">
        <w:rPr>
          <w:lang w:val="es-ES"/>
        </w:rPr>
        <w:t xml:space="preserve">, </w:t>
      </w:r>
      <w:r w:rsidR="007E2F88" w:rsidRPr="000B64C0">
        <w:rPr>
          <w:color w:val="000000" w:themeColor="text1"/>
          <w:lang w:val="es-ES"/>
        </w:rPr>
        <w:t xml:space="preserve">ni </w:t>
      </w:r>
      <w:r w:rsidR="00E7773A" w:rsidRPr="000B64C0">
        <w:rPr>
          <w:color w:val="000000" w:themeColor="text1"/>
          <w:lang w:val="es-ES"/>
        </w:rPr>
        <w:t>se le concedió</w:t>
      </w:r>
      <w:r w:rsidR="007E2F88" w:rsidRPr="000B64C0">
        <w:rPr>
          <w:color w:val="000000" w:themeColor="text1"/>
          <w:lang w:val="es-ES"/>
        </w:rPr>
        <w:t xml:space="preserve"> oportunidad alguna de intervención</w:t>
      </w:r>
      <w:r w:rsidRPr="00F955EE">
        <w:rPr>
          <w:lang w:val="es-ES"/>
        </w:rPr>
        <w:t>.</w:t>
      </w:r>
      <w:r w:rsidR="0080704A">
        <w:rPr>
          <w:lang w:val="es-ES"/>
        </w:rPr>
        <w:t xml:space="preserve"> </w:t>
      </w:r>
      <w:r w:rsidR="00701DE2" w:rsidRPr="00F955EE">
        <w:rPr>
          <w:lang w:val="es-ES"/>
        </w:rPr>
        <w:t>Tampoco lo fueron sus padres, quienes podrían haber actuado en nombre y representación de su hijo Pedro Bacilio Roche Azaña</w:t>
      </w:r>
      <w:r w:rsidR="00CB2F47" w:rsidRPr="00F955EE">
        <w:rPr>
          <w:lang w:val="es-ES"/>
        </w:rPr>
        <w:t>, fallecido también como consecuencia de los referidos hechos</w:t>
      </w:r>
      <w:r w:rsidR="00701DE2" w:rsidRPr="00F955EE">
        <w:rPr>
          <w:lang w:val="es-ES"/>
        </w:rPr>
        <w:t>.</w:t>
      </w:r>
      <w:r w:rsidR="00851CF5" w:rsidRPr="00F955EE">
        <w:rPr>
          <w:lang w:val="es-ES"/>
        </w:rPr>
        <w:t xml:space="preserve"> </w:t>
      </w:r>
    </w:p>
    <w:p w14:paraId="2ADFFCC2" w14:textId="77777777" w:rsidR="00CB2F47" w:rsidRPr="00F955EE" w:rsidRDefault="00CB2F47" w:rsidP="00CB2F47">
      <w:pPr>
        <w:tabs>
          <w:tab w:val="left" w:pos="567"/>
        </w:tabs>
        <w:rPr>
          <w:rFonts w:eastAsiaTheme="minorHAnsi" w:cs="Arial"/>
          <w:lang w:val="es-ES" w:eastAsia="en-US"/>
        </w:rPr>
      </w:pPr>
    </w:p>
    <w:p w14:paraId="63541F36" w14:textId="77777777" w:rsidR="003A55B9" w:rsidRPr="00F955EE" w:rsidRDefault="00B23B67" w:rsidP="004F0770">
      <w:pPr>
        <w:numPr>
          <w:ilvl w:val="0"/>
          <w:numId w:val="4"/>
        </w:numPr>
        <w:tabs>
          <w:tab w:val="left" w:pos="567"/>
          <w:tab w:val="num" w:pos="12305"/>
        </w:tabs>
        <w:ind w:left="0" w:firstLine="0"/>
        <w:rPr>
          <w:rFonts w:eastAsiaTheme="minorHAnsi" w:cs="Arial"/>
          <w:lang w:val="es-ES" w:eastAsia="en-US"/>
        </w:rPr>
      </w:pPr>
      <w:r w:rsidRPr="00F955EE">
        <w:rPr>
          <w:lang w:val="es-ES"/>
        </w:rPr>
        <w:t>La Corte nota que el procedimiento inició formalmente el 18 de abril de 1996, momento en el que se interp</w:t>
      </w:r>
      <w:r w:rsidR="00CB2F47" w:rsidRPr="00F955EE">
        <w:rPr>
          <w:lang w:val="es-ES"/>
        </w:rPr>
        <w:t>uso</w:t>
      </w:r>
      <w:r w:rsidRPr="00F955EE">
        <w:rPr>
          <w:lang w:val="es-ES"/>
        </w:rPr>
        <w:t xml:space="preserve"> la denuncia por la muerte del señor Pedro Bacilio Roche Azaña</w:t>
      </w:r>
      <w:r w:rsidR="00A11D6C" w:rsidRPr="00F955EE">
        <w:rPr>
          <w:rStyle w:val="Refdenotaalpie"/>
          <w:lang w:val="es-ES"/>
        </w:rPr>
        <w:footnoteReference w:id="109"/>
      </w:r>
      <w:r w:rsidRPr="00F955EE">
        <w:rPr>
          <w:lang w:val="es-ES"/>
        </w:rPr>
        <w:t xml:space="preserve"> y las heridas causadas a las restantes personas migrante</w:t>
      </w:r>
      <w:r w:rsidR="00A11D6C" w:rsidRPr="00F955EE">
        <w:rPr>
          <w:lang w:val="es-ES"/>
        </w:rPr>
        <w:t>s y finaliz</w:t>
      </w:r>
      <w:r w:rsidR="00CB2F47" w:rsidRPr="00F955EE">
        <w:rPr>
          <w:lang w:val="es-ES"/>
        </w:rPr>
        <w:t>ó</w:t>
      </w:r>
      <w:r w:rsidR="00A11D6C" w:rsidRPr="00F955EE">
        <w:rPr>
          <w:lang w:val="es-ES"/>
        </w:rPr>
        <w:t xml:space="preserve"> el 27 de febrero de 1997</w:t>
      </w:r>
      <w:r w:rsidR="00E97B27" w:rsidRPr="00F955EE">
        <w:rPr>
          <w:lang w:val="es-ES"/>
        </w:rPr>
        <w:t>,</w:t>
      </w:r>
      <w:r w:rsidR="00A11D6C" w:rsidRPr="00F955EE">
        <w:rPr>
          <w:lang w:val="es-ES"/>
        </w:rPr>
        <w:t xml:space="preserve"> cuando el Juzgado Primero de Distrito del Crimen de Chinandega absolvió a los procesados</w:t>
      </w:r>
      <w:r w:rsidR="00A11D6C" w:rsidRPr="00F955EE">
        <w:rPr>
          <w:rStyle w:val="Refdenotaalpie"/>
          <w:lang w:val="es-ES"/>
        </w:rPr>
        <w:footnoteReference w:id="110"/>
      </w:r>
      <w:r w:rsidR="00A11D6C" w:rsidRPr="00F955EE">
        <w:rPr>
          <w:lang w:val="es-ES"/>
        </w:rPr>
        <w:t xml:space="preserve">. </w:t>
      </w:r>
    </w:p>
    <w:p w14:paraId="3BE7562B" w14:textId="77777777" w:rsidR="003A55B9" w:rsidRPr="00F955EE" w:rsidRDefault="003A55B9" w:rsidP="00360F57">
      <w:pPr>
        <w:tabs>
          <w:tab w:val="left" w:pos="567"/>
        </w:tabs>
        <w:rPr>
          <w:rFonts w:eastAsiaTheme="minorHAnsi" w:cs="Arial"/>
          <w:lang w:val="es-ES" w:eastAsia="en-US"/>
        </w:rPr>
      </w:pPr>
    </w:p>
    <w:p w14:paraId="56E85B2E" w14:textId="1A8FAC87" w:rsidR="003A55B9" w:rsidRPr="00F955EE" w:rsidRDefault="00A11D6C" w:rsidP="004F0770">
      <w:pPr>
        <w:numPr>
          <w:ilvl w:val="0"/>
          <w:numId w:val="4"/>
        </w:numPr>
        <w:tabs>
          <w:tab w:val="left" w:pos="567"/>
          <w:tab w:val="num" w:pos="12305"/>
        </w:tabs>
        <w:ind w:left="0" w:firstLine="0"/>
        <w:rPr>
          <w:rFonts w:eastAsiaTheme="minorHAnsi" w:cs="Arial"/>
          <w:lang w:val="es-ES" w:eastAsia="en-US"/>
        </w:rPr>
      </w:pPr>
      <w:r w:rsidRPr="00F955EE">
        <w:rPr>
          <w:lang w:val="es-ES"/>
        </w:rPr>
        <w:t>No obstante</w:t>
      </w:r>
      <w:r w:rsidR="00B23B67" w:rsidRPr="00F955EE">
        <w:rPr>
          <w:lang w:val="es-ES"/>
        </w:rPr>
        <w:t xml:space="preserve">, tal y como ha sido señalado por el propio señor </w:t>
      </w:r>
      <w:r w:rsidR="00A15E04">
        <w:rPr>
          <w:lang w:val="es-ES"/>
        </w:rPr>
        <w:t xml:space="preserve">Patricio Fernando </w:t>
      </w:r>
      <w:r w:rsidR="00B23B67" w:rsidRPr="00F955EE">
        <w:rPr>
          <w:lang w:val="es-ES"/>
        </w:rPr>
        <w:t>Roche Azaña</w:t>
      </w:r>
      <w:r w:rsidRPr="00F955EE">
        <w:rPr>
          <w:lang w:val="es-ES"/>
        </w:rPr>
        <w:t xml:space="preserve"> en la audiencia pública celebrada ante esta Corte</w:t>
      </w:r>
      <w:r w:rsidR="00B23B67" w:rsidRPr="00F955EE">
        <w:rPr>
          <w:lang w:val="es-ES"/>
        </w:rPr>
        <w:t xml:space="preserve">, éste no tuvo conocimiento de </w:t>
      </w:r>
      <w:r w:rsidR="00766A70" w:rsidRPr="00F955EE">
        <w:rPr>
          <w:lang w:val="es-ES"/>
        </w:rPr>
        <w:t xml:space="preserve">la existencia de </w:t>
      </w:r>
      <w:r w:rsidR="00B23B67" w:rsidRPr="00F955EE">
        <w:rPr>
          <w:lang w:val="es-ES"/>
        </w:rPr>
        <w:t>dicho procedimiento</w:t>
      </w:r>
      <w:r w:rsidRPr="00F955EE">
        <w:rPr>
          <w:rStyle w:val="Refdenotaalpie"/>
          <w:lang w:val="es-ES"/>
        </w:rPr>
        <w:footnoteReference w:id="111"/>
      </w:r>
      <w:r w:rsidRPr="00F955EE">
        <w:rPr>
          <w:lang w:val="es-ES"/>
        </w:rPr>
        <w:t>. Según lo indicado por la Comisión</w:t>
      </w:r>
      <w:r w:rsidR="00045215" w:rsidRPr="00F955EE">
        <w:rPr>
          <w:lang w:val="es-ES"/>
        </w:rPr>
        <w:t xml:space="preserve"> -y que </w:t>
      </w:r>
      <w:r w:rsidRPr="00F955EE">
        <w:rPr>
          <w:lang w:val="es-ES"/>
        </w:rPr>
        <w:t>no ha sido refutado por el Estado</w:t>
      </w:r>
      <w:r w:rsidR="00045215" w:rsidRPr="00F955EE">
        <w:rPr>
          <w:lang w:val="es-ES"/>
        </w:rPr>
        <w:t>-</w:t>
      </w:r>
      <w:r w:rsidRPr="00F955EE">
        <w:rPr>
          <w:lang w:val="es-ES"/>
        </w:rPr>
        <w:t xml:space="preserve"> no fue hasta </w:t>
      </w:r>
      <w:r w:rsidR="00EE77EB" w:rsidRPr="00F955EE">
        <w:rPr>
          <w:lang w:val="es-ES"/>
        </w:rPr>
        <w:t>el mes de agosto de 1998 cuando su madre recibió informalmente por parte de un funcionario de la cancillería de Ecuador una copia de la sentencia dictada por el Tribunal de Jurados del Distrito del Crimen de Chinandega</w:t>
      </w:r>
      <w:r w:rsidR="00EE77EB" w:rsidRPr="00F955EE">
        <w:rPr>
          <w:rStyle w:val="Refdenotaalpie"/>
          <w:lang w:val="es-ES"/>
        </w:rPr>
        <w:footnoteReference w:id="112"/>
      </w:r>
      <w:r w:rsidR="00EE77EB" w:rsidRPr="00F955EE">
        <w:rPr>
          <w:lang w:val="es-ES"/>
        </w:rPr>
        <w:t xml:space="preserve">. </w:t>
      </w:r>
      <w:r w:rsidR="00045215" w:rsidRPr="00F955EE">
        <w:rPr>
          <w:lang w:val="es-ES"/>
        </w:rPr>
        <w:t xml:space="preserve">Si bien en la audiencia pública celebrada ante esta Corte el Estado alegó que existieron comunicaciones entre el juez del procedimiento penal y la Embajada y el Consulado de Ecuador en Nicaragua, la Corte </w:t>
      </w:r>
      <w:r w:rsidR="008D1DB7" w:rsidRPr="00F955EE">
        <w:rPr>
          <w:lang w:val="es-ES"/>
        </w:rPr>
        <w:t>advierte</w:t>
      </w:r>
      <w:r w:rsidR="00045215" w:rsidRPr="00F955EE">
        <w:rPr>
          <w:lang w:val="es-ES"/>
        </w:rPr>
        <w:t xml:space="preserve"> que no se ha desplegado ningún tipo de actividad probatoria para acreditar este extremo.</w:t>
      </w:r>
      <w:r w:rsidR="002C7313" w:rsidRPr="00F955EE">
        <w:rPr>
          <w:lang w:val="es-ES"/>
        </w:rPr>
        <w:t xml:space="preserve"> </w:t>
      </w:r>
    </w:p>
    <w:p w14:paraId="6A9BFA51" w14:textId="77777777" w:rsidR="00650BF4" w:rsidRPr="00F955EE" w:rsidRDefault="00650BF4" w:rsidP="00650BF4">
      <w:pPr>
        <w:tabs>
          <w:tab w:val="left" w:pos="567"/>
        </w:tabs>
        <w:rPr>
          <w:rFonts w:eastAsiaTheme="minorHAnsi" w:cs="Arial"/>
          <w:lang w:val="es-ES" w:eastAsia="en-US"/>
        </w:rPr>
      </w:pPr>
    </w:p>
    <w:p w14:paraId="5C38F37E" w14:textId="07388CE1" w:rsidR="0030508E" w:rsidRPr="00F955EE" w:rsidRDefault="00045215" w:rsidP="004F0770">
      <w:pPr>
        <w:numPr>
          <w:ilvl w:val="0"/>
          <w:numId w:val="4"/>
        </w:numPr>
        <w:tabs>
          <w:tab w:val="left" w:pos="567"/>
          <w:tab w:val="num" w:pos="12305"/>
        </w:tabs>
        <w:ind w:left="0" w:firstLine="0"/>
        <w:rPr>
          <w:rFonts w:cs="Cambria"/>
          <w:lang w:val="es-ES"/>
        </w:rPr>
      </w:pPr>
      <w:r w:rsidRPr="00F955EE">
        <w:rPr>
          <w:lang w:val="es-ES"/>
        </w:rPr>
        <w:t xml:space="preserve">Por otro lado, la Corte </w:t>
      </w:r>
      <w:r w:rsidR="00D96F43" w:rsidRPr="00F955EE">
        <w:rPr>
          <w:lang w:val="es-ES"/>
        </w:rPr>
        <w:t>nota</w:t>
      </w:r>
      <w:r w:rsidRPr="00F955EE">
        <w:rPr>
          <w:lang w:val="es-ES"/>
        </w:rPr>
        <w:t xml:space="preserve"> </w:t>
      </w:r>
      <w:r w:rsidR="00E97B27" w:rsidRPr="00F955EE">
        <w:rPr>
          <w:lang w:val="es-ES"/>
        </w:rPr>
        <w:t xml:space="preserve">que </w:t>
      </w:r>
      <w:r w:rsidRPr="00F955EE">
        <w:rPr>
          <w:rFonts w:cs="Cambria"/>
          <w:color w:val="000000"/>
          <w:lang w:val="es-ES"/>
        </w:rPr>
        <w:t>el Código de Instrucción Criminal vigente en la época de los hechos señalaba que las primeras diligencias de instrucción criminal dirigidas a recabar todos los elementos de prueba que permitan dar por comprobado o no el cuerpo del delito, y declarada por demostrada o no la responsabilidad penal de los procesados, debían concluir dentro del término perentorio de 10 días desde que se dictó la resolución que daba apertura al proceso penal. De lo contrario, deberían ponerse en libertad a los procesados por detención ilegal</w:t>
      </w:r>
      <w:r w:rsidRPr="00F955EE">
        <w:rPr>
          <w:rStyle w:val="Refdenotaalpie"/>
          <w:rFonts w:cs="Cambria"/>
          <w:color w:val="000000"/>
          <w:lang w:val="es-ES"/>
        </w:rPr>
        <w:footnoteReference w:id="113"/>
      </w:r>
      <w:r w:rsidRPr="00F955EE">
        <w:rPr>
          <w:rFonts w:cs="Cambria"/>
          <w:color w:val="000000"/>
          <w:lang w:val="es-ES"/>
        </w:rPr>
        <w:t xml:space="preserve">. Es por ello que, siguiendo dicho criterio, se ordenó de oficio tomar declaración </w:t>
      </w:r>
      <w:r w:rsidRPr="00F955EE">
        <w:rPr>
          <w:rFonts w:cs="Cambria"/>
          <w:i/>
          <w:iCs/>
          <w:color w:val="000000"/>
          <w:lang w:val="es-ES"/>
        </w:rPr>
        <w:t xml:space="preserve">ad-inquerendum </w:t>
      </w:r>
      <w:r w:rsidRPr="00F955EE">
        <w:rPr>
          <w:rFonts w:cs="Cambria"/>
          <w:color w:val="000000"/>
          <w:lang w:val="es-ES"/>
        </w:rPr>
        <w:t xml:space="preserve">a las personas hospitalizadas, haciéndoles saber que </w:t>
      </w:r>
      <w:r w:rsidR="00F14108" w:rsidRPr="00F955EE">
        <w:rPr>
          <w:rFonts w:cs="Cambria"/>
          <w:color w:val="000000"/>
          <w:lang w:val="es-ES"/>
        </w:rPr>
        <w:t>podían</w:t>
      </w:r>
      <w:r w:rsidRPr="00F955EE">
        <w:rPr>
          <w:rFonts w:cs="Cambria"/>
          <w:color w:val="000000"/>
          <w:lang w:val="es-ES"/>
        </w:rPr>
        <w:t xml:space="preserve"> </w:t>
      </w:r>
      <w:r w:rsidR="00F14108" w:rsidRPr="00F955EE">
        <w:rPr>
          <w:rFonts w:cs="Cambria"/>
          <w:color w:val="000000"/>
          <w:lang w:val="es-ES"/>
        </w:rPr>
        <w:t>intervenir</w:t>
      </w:r>
      <w:r w:rsidRPr="00F955EE">
        <w:rPr>
          <w:rFonts w:cs="Cambria"/>
          <w:color w:val="000000"/>
          <w:lang w:val="es-ES"/>
        </w:rPr>
        <w:t xml:space="preserve"> en el proceso. En este sentido, </w:t>
      </w:r>
      <w:r w:rsidR="00F406FA" w:rsidRPr="00F955EE">
        <w:rPr>
          <w:rFonts w:cs="Cambria"/>
          <w:color w:val="000000"/>
          <w:lang w:val="es-ES"/>
        </w:rPr>
        <w:t xml:space="preserve">dos de dichas personas -M.Q.P. y N.D.S.- </w:t>
      </w:r>
      <w:r w:rsidR="00E97B27" w:rsidRPr="00F955EE">
        <w:rPr>
          <w:rFonts w:cs="Cambria"/>
          <w:color w:val="000000"/>
          <w:lang w:val="es-ES"/>
        </w:rPr>
        <w:t xml:space="preserve">rindieron sus correspondientes declaraciones </w:t>
      </w:r>
      <w:r w:rsidR="00E97B27" w:rsidRPr="00F955EE">
        <w:rPr>
          <w:rFonts w:cs="Cambria"/>
          <w:i/>
          <w:iCs/>
          <w:color w:val="000000"/>
          <w:lang w:val="es-ES"/>
        </w:rPr>
        <w:t>ad-inquerendum</w:t>
      </w:r>
      <w:r w:rsidR="00E97B27" w:rsidRPr="00F955EE">
        <w:rPr>
          <w:rFonts w:cs="Cambria"/>
          <w:color w:val="000000"/>
          <w:lang w:val="es-ES"/>
        </w:rPr>
        <w:t xml:space="preserve"> y </w:t>
      </w:r>
      <w:r w:rsidRPr="00F955EE">
        <w:rPr>
          <w:rFonts w:cs="Cambria"/>
          <w:color w:val="000000"/>
          <w:lang w:val="es-ES"/>
        </w:rPr>
        <w:t>se unieron al proceso. No obstante, cuando las autoridades se apersonaron al h</w:t>
      </w:r>
      <w:r w:rsidRPr="00F955EE">
        <w:rPr>
          <w:color w:val="151515"/>
          <w:lang w:val="es-ES"/>
        </w:rPr>
        <w:t>ospital</w:t>
      </w:r>
      <w:r w:rsidRPr="00F955EE">
        <w:rPr>
          <w:rFonts w:cs="Cambria"/>
          <w:color w:val="000000"/>
          <w:lang w:val="es-ES"/>
        </w:rPr>
        <w:t xml:space="preserve"> a tomar la declaración de Patricio Roche Azaña, fueron impedidas porque se encontraba </w:t>
      </w:r>
      <w:r w:rsidRPr="00F955EE">
        <w:rPr>
          <w:rFonts w:cs="Cambria"/>
          <w:lang w:val="es-ES"/>
        </w:rPr>
        <w:t xml:space="preserve">en estado de coma. </w:t>
      </w:r>
      <w:r w:rsidR="007717F7" w:rsidRPr="00F955EE">
        <w:rPr>
          <w:rFonts w:cs="Cambria"/>
          <w:lang w:val="es-ES"/>
        </w:rPr>
        <w:t>El Estado justific</w:t>
      </w:r>
      <w:r w:rsidR="004C3923">
        <w:rPr>
          <w:rFonts w:cs="Cambria"/>
          <w:lang w:val="es-ES"/>
        </w:rPr>
        <w:t>ó</w:t>
      </w:r>
      <w:r w:rsidR="007717F7" w:rsidRPr="00F955EE">
        <w:rPr>
          <w:rFonts w:cs="Cambria"/>
          <w:lang w:val="es-ES"/>
        </w:rPr>
        <w:t xml:space="preserve"> la ausencia de participación del señor Roche Azaña en el hecho de que la legislación obligaba a recabar todos los elementos de prueba en diez días </w:t>
      </w:r>
      <w:r w:rsidR="007717F7" w:rsidRPr="00F955EE">
        <w:rPr>
          <w:rFonts w:cs="Cambria"/>
          <w:color w:val="000000"/>
          <w:lang w:val="es-ES"/>
        </w:rPr>
        <w:t xml:space="preserve">desde que se dictó la resolución que </w:t>
      </w:r>
      <w:r w:rsidR="007717F7" w:rsidRPr="00F955EE">
        <w:rPr>
          <w:rFonts w:cs="Cambria"/>
          <w:color w:val="000000"/>
          <w:lang w:val="es-ES"/>
        </w:rPr>
        <w:lastRenderedPageBreak/>
        <w:t xml:space="preserve">daba apertura al proceso penal. Sin embargo, la Corte </w:t>
      </w:r>
      <w:r w:rsidR="008D1DB7" w:rsidRPr="00F955EE">
        <w:rPr>
          <w:rFonts w:cs="Cambria"/>
          <w:color w:val="000000"/>
          <w:lang w:val="es-ES"/>
        </w:rPr>
        <w:t>advierte</w:t>
      </w:r>
      <w:r w:rsidR="007717F7" w:rsidRPr="00F955EE">
        <w:rPr>
          <w:rFonts w:cs="Cambria"/>
          <w:color w:val="000000"/>
          <w:lang w:val="es-ES"/>
        </w:rPr>
        <w:t xml:space="preserve"> que el hecho de que se deb</w:t>
      </w:r>
      <w:r w:rsidR="008C16CE" w:rsidRPr="00F955EE">
        <w:rPr>
          <w:rFonts w:cs="Cambria"/>
          <w:color w:val="000000"/>
          <w:lang w:val="es-ES"/>
        </w:rPr>
        <w:t>iera</w:t>
      </w:r>
      <w:r w:rsidR="007717F7" w:rsidRPr="00F955EE">
        <w:rPr>
          <w:rFonts w:cs="Cambria"/>
          <w:color w:val="000000"/>
          <w:lang w:val="es-ES"/>
        </w:rPr>
        <w:t xml:space="preserve"> recabar prueba en un plazo determinado no obstaba para que se notificara al señor Roche Azaña de todas las siguientes etapas del proceso y permitirle </w:t>
      </w:r>
      <w:r w:rsidR="00240576">
        <w:rPr>
          <w:rFonts w:cs="Cambria"/>
          <w:color w:val="000000"/>
          <w:lang w:val="es-ES"/>
        </w:rPr>
        <w:t xml:space="preserve">así </w:t>
      </w:r>
      <w:r w:rsidR="007717F7" w:rsidRPr="00F955EE">
        <w:rPr>
          <w:rFonts w:cs="Cambria"/>
          <w:color w:val="000000"/>
          <w:lang w:val="es-ES"/>
        </w:rPr>
        <w:t xml:space="preserve">poder intervenir en las mismas </w:t>
      </w:r>
      <w:r w:rsidR="008C16CE" w:rsidRPr="00F955EE">
        <w:rPr>
          <w:rFonts w:cs="Cambria"/>
          <w:color w:val="000000"/>
          <w:lang w:val="es-ES"/>
        </w:rPr>
        <w:t xml:space="preserve">en el </w:t>
      </w:r>
      <w:r w:rsidR="007717F7" w:rsidRPr="00F955EE">
        <w:rPr>
          <w:rFonts w:cs="Cambria"/>
          <w:color w:val="000000"/>
          <w:lang w:val="es-ES"/>
        </w:rPr>
        <w:t xml:space="preserve">caso de que lo estimara oportuno. </w:t>
      </w:r>
    </w:p>
    <w:p w14:paraId="2E557008" w14:textId="77777777" w:rsidR="0030508E" w:rsidRPr="00F955EE" w:rsidRDefault="0030508E" w:rsidP="0030508E">
      <w:pPr>
        <w:tabs>
          <w:tab w:val="left" w:pos="567"/>
        </w:tabs>
        <w:rPr>
          <w:spacing w:val="-2"/>
          <w:lang w:val="es-ES"/>
        </w:rPr>
      </w:pPr>
    </w:p>
    <w:p w14:paraId="40F3F679" w14:textId="1F813A41" w:rsidR="001C5DCD" w:rsidRPr="00F955EE" w:rsidRDefault="008D5F62" w:rsidP="004F0770">
      <w:pPr>
        <w:numPr>
          <w:ilvl w:val="0"/>
          <w:numId w:val="4"/>
        </w:numPr>
        <w:tabs>
          <w:tab w:val="left" w:pos="567"/>
          <w:tab w:val="left" w:pos="5387"/>
          <w:tab w:val="num" w:pos="12305"/>
        </w:tabs>
        <w:ind w:left="0" w:firstLine="0"/>
        <w:rPr>
          <w:spacing w:val="-2"/>
          <w:lang w:val="es-ES"/>
        </w:rPr>
      </w:pPr>
      <w:r w:rsidRPr="00F955EE">
        <w:rPr>
          <w:rFonts w:cs="Cambria"/>
          <w:color w:val="000000"/>
          <w:lang w:val="es-ES"/>
        </w:rPr>
        <w:t>El Estado</w:t>
      </w:r>
      <w:r w:rsidR="009252D2" w:rsidRPr="00F955EE">
        <w:rPr>
          <w:rFonts w:cs="Cambria"/>
          <w:color w:val="000000"/>
          <w:lang w:val="es-ES"/>
        </w:rPr>
        <w:t xml:space="preserve"> </w:t>
      </w:r>
      <w:r w:rsidR="00D96F43" w:rsidRPr="00F955EE">
        <w:rPr>
          <w:rFonts w:cs="Cambria"/>
          <w:color w:val="000000"/>
          <w:lang w:val="es-ES"/>
        </w:rPr>
        <w:t xml:space="preserve">además </w:t>
      </w:r>
      <w:r w:rsidRPr="00F955EE">
        <w:rPr>
          <w:rFonts w:cs="Cambria"/>
          <w:color w:val="000000"/>
          <w:lang w:val="es-ES"/>
        </w:rPr>
        <w:t>señal</w:t>
      </w:r>
      <w:r w:rsidR="004C3923">
        <w:rPr>
          <w:rFonts w:cs="Cambria"/>
          <w:color w:val="000000"/>
          <w:lang w:val="es-ES"/>
        </w:rPr>
        <w:t>ó</w:t>
      </w:r>
      <w:r w:rsidRPr="00F955EE">
        <w:rPr>
          <w:rFonts w:cs="Cambria"/>
          <w:color w:val="000000"/>
          <w:lang w:val="es-ES"/>
        </w:rPr>
        <w:t xml:space="preserve"> </w:t>
      </w:r>
      <w:r w:rsidR="009252D2" w:rsidRPr="00F955EE">
        <w:rPr>
          <w:rFonts w:cs="Cambria"/>
          <w:color w:val="000000"/>
          <w:lang w:val="es-ES"/>
        </w:rPr>
        <w:t xml:space="preserve">que </w:t>
      </w:r>
      <w:r w:rsidRPr="00F955EE">
        <w:rPr>
          <w:lang w:val="es-ES"/>
        </w:rPr>
        <w:t xml:space="preserve">todos los actos del procedimiento penal fueron notificados al Procurador Penal, quien ejercía la representación de la </w:t>
      </w:r>
      <w:r w:rsidRPr="00F955EE">
        <w:rPr>
          <w:i/>
          <w:lang w:val="es-ES"/>
        </w:rPr>
        <w:t>vindicta pública</w:t>
      </w:r>
      <w:r w:rsidRPr="00F955EE">
        <w:rPr>
          <w:lang w:val="es-ES"/>
        </w:rPr>
        <w:t xml:space="preserve"> y desarrolló todas las diligencias pertinentes y necesarias para el esclarecimiento de los hechos y el castigo de sus responsables.</w:t>
      </w:r>
      <w:r w:rsidR="0030508E" w:rsidRPr="00F955EE">
        <w:rPr>
          <w:spacing w:val="-2"/>
          <w:lang w:val="es-ES"/>
        </w:rPr>
        <w:t xml:space="preserve"> </w:t>
      </w:r>
      <w:r w:rsidR="0030508E" w:rsidRPr="00F955EE">
        <w:rPr>
          <w:rFonts w:cs="Cambria"/>
          <w:color w:val="000000"/>
          <w:lang w:val="es-ES"/>
        </w:rPr>
        <w:t>L</w:t>
      </w:r>
      <w:r w:rsidR="007717F7" w:rsidRPr="00F955EE">
        <w:rPr>
          <w:rFonts w:cs="Cambria"/>
          <w:color w:val="000000"/>
          <w:lang w:val="es-ES"/>
        </w:rPr>
        <w:t xml:space="preserve">a Corte considera que el </w:t>
      </w:r>
      <w:r w:rsidR="005044F4">
        <w:rPr>
          <w:rFonts w:cs="Cambria"/>
          <w:color w:val="000000"/>
          <w:lang w:val="es-ES"/>
        </w:rPr>
        <w:t xml:space="preserve">ejercicio de la acción pública por </w:t>
      </w:r>
      <w:r w:rsidR="007717F7" w:rsidRPr="00F955EE">
        <w:rPr>
          <w:rFonts w:cs="Cambria"/>
          <w:color w:val="000000"/>
          <w:lang w:val="es-ES"/>
        </w:rPr>
        <w:t xml:space="preserve">un Procurador Penal </w:t>
      </w:r>
      <w:r w:rsidR="007717F7" w:rsidRPr="00F955EE">
        <w:rPr>
          <w:rFonts w:eastAsiaTheme="minorHAnsi" w:cstheme="minorBidi"/>
          <w:lang w:val="es-ES" w:eastAsia="en-US"/>
        </w:rPr>
        <w:t>no</w:t>
      </w:r>
      <w:r w:rsidR="007717F7" w:rsidRPr="00F955EE">
        <w:rPr>
          <w:rFonts w:cs="Cambria"/>
          <w:color w:val="000000"/>
          <w:lang w:val="es-ES"/>
        </w:rPr>
        <w:t xml:space="preserve"> deb</w:t>
      </w:r>
      <w:r w:rsidR="005044F4">
        <w:rPr>
          <w:rFonts w:cs="Cambria"/>
          <w:color w:val="000000"/>
          <w:lang w:val="es-ES"/>
        </w:rPr>
        <w:t xml:space="preserve">ería haber sido </w:t>
      </w:r>
      <w:r w:rsidR="007717F7" w:rsidRPr="00F955EE">
        <w:rPr>
          <w:rFonts w:cs="Cambria"/>
          <w:color w:val="000000"/>
          <w:lang w:val="es-ES"/>
        </w:rPr>
        <w:t xml:space="preserve">óbice para que la </w:t>
      </w:r>
      <w:r w:rsidRPr="00F955EE">
        <w:rPr>
          <w:rFonts w:cs="Cambria"/>
          <w:color w:val="000000"/>
          <w:lang w:val="es-ES"/>
        </w:rPr>
        <w:t xml:space="preserve">presunta </w:t>
      </w:r>
      <w:r w:rsidR="007717F7" w:rsidRPr="00F955EE">
        <w:rPr>
          <w:rFonts w:cs="Cambria"/>
          <w:color w:val="000000"/>
          <w:lang w:val="es-ES"/>
        </w:rPr>
        <w:t xml:space="preserve">víctima </w:t>
      </w:r>
      <w:r w:rsidR="00701DE2" w:rsidRPr="00F955EE">
        <w:rPr>
          <w:rFonts w:cs="Cambria"/>
          <w:color w:val="000000"/>
          <w:lang w:val="es-ES"/>
        </w:rPr>
        <w:t xml:space="preserve">o la parte perjudicada </w:t>
      </w:r>
      <w:r w:rsidR="005044F4">
        <w:rPr>
          <w:rFonts w:cs="Cambria"/>
          <w:color w:val="000000"/>
          <w:lang w:val="es-ES"/>
        </w:rPr>
        <w:t xml:space="preserve">hubiera </w:t>
      </w:r>
      <w:r w:rsidR="007717F7" w:rsidRPr="00F955EE">
        <w:rPr>
          <w:rFonts w:cs="Cambria"/>
          <w:color w:val="000000"/>
          <w:lang w:val="es-ES"/>
        </w:rPr>
        <w:t>también participa</w:t>
      </w:r>
      <w:r w:rsidR="005044F4">
        <w:rPr>
          <w:rFonts w:cs="Cambria"/>
          <w:color w:val="000000"/>
          <w:lang w:val="es-ES"/>
        </w:rPr>
        <w:t>do</w:t>
      </w:r>
      <w:r w:rsidR="007717F7" w:rsidRPr="00F955EE">
        <w:rPr>
          <w:rFonts w:cs="Cambria"/>
          <w:color w:val="000000"/>
          <w:lang w:val="es-ES"/>
        </w:rPr>
        <w:t xml:space="preserve"> en el proceso penal, máxime cuando la propia legislación nicaragüense así lo habilitaba. A este respecto, la Corte </w:t>
      </w:r>
      <w:r w:rsidR="008C16CE" w:rsidRPr="00F955EE">
        <w:rPr>
          <w:rFonts w:cs="Cambria"/>
          <w:color w:val="000000"/>
          <w:lang w:val="es-ES"/>
        </w:rPr>
        <w:t>observa</w:t>
      </w:r>
      <w:r w:rsidR="007717F7" w:rsidRPr="00F955EE">
        <w:rPr>
          <w:rFonts w:cs="Cambria"/>
          <w:color w:val="000000"/>
          <w:lang w:val="es-ES"/>
        </w:rPr>
        <w:t xml:space="preserve"> que el Código de Instrucción Criminal permitía </w:t>
      </w:r>
      <w:r w:rsidRPr="00F955EE">
        <w:rPr>
          <w:rFonts w:cs="Cambria"/>
          <w:color w:val="000000"/>
          <w:lang w:val="es-ES"/>
        </w:rPr>
        <w:t xml:space="preserve">a la parte acusadora </w:t>
      </w:r>
      <w:r w:rsidR="00701DE2" w:rsidRPr="00F955EE">
        <w:rPr>
          <w:rFonts w:cs="Cambria"/>
          <w:color w:val="000000"/>
          <w:lang w:val="es-ES"/>
        </w:rPr>
        <w:t xml:space="preserve">o a la parte perjudicada </w:t>
      </w:r>
      <w:r w:rsidRPr="00F955EE">
        <w:rPr>
          <w:rFonts w:cs="Cambria"/>
          <w:color w:val="000000"/>
          <w:lang w:val="es-ES"/>
        </w:rPr>
        <w:t>intervenir en el juicio plenario</w:t>
      </w:r>
      <w:r w:rsidRPr="00F955EE">
        <w:rPr>
          <w:rStyle w:val="Refdenotaalpie"/>
          <w:rFonts w:cs="Cambria"/>
          <w:color w:val="000000"/>
          <w:lang w:val="es-ES"/>
        </w:rPr>
        <w:footnoteReference w:id="114"/>
      </w:r>
      <w:r w:rsidRPr="00F955EE">
        <w:rPr>
          <w:rFonts w:cs="Cambria"/>
          <w:color w:val="000000"/>
          <w:lang w:val="es-ES"/>
        </w:rPr>
        <w:t>, proponer prueba</w:t>
      </w:r>
      <w:r w:rsidRPr="00F955EE">
        <w:rPr>
          <w:rStyle w:val="Refdenotaalpie"/>
          <w:rFonts w:cs="Cambria"/>
          <w:color w:val="000000"/>
          <w:lang w:val="es-ES"/>
        </w:rPr>
        <w:footnoteReference w:id="115"/>
      </w:r>
      <w:r w:rsidRPr="00F955EE">
        <w:rPr>
          <w:rFonts w:cs="Cambria"/>
          <w:color w:val="000000"/>
          <w:lang w:val="es-ES"/>
        </w:rPr>
        <w:t xml:space="preserve"> y examinar testigos</w:t>
      </w:r>
      <w:r w:rsidRPr="00F955EE">
        <w:rPr>
          <w:rStyle w:val="Refdenotaalpie"/>
          <w:rFonts w:cs="Cambria"/>
          <w:color w:val="000000"/>
          <w:lang w:val="es-ES"/>
        </w:rPr>
        <w:footnoteReference w:id="116"/>
      </w:r>
      <w:r w:rsidRPr="00F955EE">
        <w:rPr>
          <w:rFonts w:cs="Cambria"/>
          <w:color w:val="000000"/>
          <w:lang w:val="es-ES"/>
        </w:rPr>
        <w:t xml:space="preserve">, acciones que no pudieron ser ejecutadas por el señor Roche Azaña </w:t>
      </w:r>
      <w:r w:rsidR="00A92F62" w:rsidRPr="00F955EE">
        <w:rPr>
          <w:rFonts w:cs="Cambria"/>
          <w:color w:val="000000"/>
          <w:lang w:val="es-ES"/>
        </w:rPr>
        <w:t>una vez salió del coma</w:t>
      </w:r>
      <w:r w:rsidR="00A92F62" w:rsidRPr="00F955EE">
        <w:rPr>
          <w:rStyle w:val="Refdenotaalpie"/>
          <w:rFonts w:eastAsia="MS Mincho"/>
          <w:lang w:val="es-ES"/>
        </w:rPr>
        <w:footnoteReference w:id="117"/>
      </w:r>
      <w:r w:rsidR="00701DE2" w:rsidRPr="00F955EE">
        <w:rPr>
          <w:rFonts w:cs="Cambria"/>
          <w:color w:val="000000"/>
          <w:lang w:val="es-ES"/>
        </w:rPr>
        <w:t xml:space="preserve"> ni por sus padres</w:t>
      </w:r>
      <w:r w:rsidR="00A92F62" w:rsidRPr="00F955EE">
        <w:rPr>
          <w:lang w:val="es-ES"/>
        </w:rPr>
        <w:t>,</w:t>
      </w:r>
      <w:r w:rsidR="00A92F62" w:rsidRPr="00F955EE">
        <w:rPr>
          <w:rFonts w:cs="Cambria"/>
          <w:color w:val="000000"/>
          <w:lang w:val="es-ES"/>
        </w:rPr>
        <w:t xml:space="preserve"> y ello </w:t>
      </w:r>
      <w:r w:rsidRPr="00F955EE">
        <w:rPr>
          <w:rFonts w:cs="Cambria"/>
          <w:color w:val="000000"/>
          <w:lang w:val="es-ES"/>
        </w:rPr>
        <w:t>debido al absoluto desconocimiento de la existencia del proceso.</w:t>
      </w:r>
      <w:r w:rsidR="0030508E" w:rsidRPr="00F955EE">
        <w:rPr>
          <w:spacing w:val="-2"/>
          <w:lang w:val="es-ES"/>
        </w:rPr>
        <w:t xml:space="preserve"> </w:t>
      </w:r>
      <w:r w:rsidR="00701DE2" w:rsidRPr="00F955EE">
        <w:rPr>
          <w:spacing w:val="-2"/>
          <w:lang w:val="es-ES"/>
        </w:rPr>
        <w:t>Ni e</w:t>
      </w:r>
      <w:r w:rsidR="0030508E" w:rsidRPr="00F955EE">
        <w:rPr>
          <w:spacing w:val="-2"/>
          <w:lang w:val="es-ES"/>
        </w:rPr>
        <w:t>l señor Roche Azaña</w:t>
      </w:r>
      <w:r w:rsidR="00701DE2" w:rsidRPr="00F955EE">
        <w:rPr>
          <w:spacing w:val="-2"/>
          <w:lang w:val="es-ES"/>
        </w:rPr>
        <w:t xml:space="preserve"> ni sus padres</w:t>
      </w:r>
      <w:r w:rsidR="0030508E" w:rsidRPr="00F955EE">
        <w:rPr>
          <w:spacing w:val="-2"/>
          <w:lang w:val="es-ES"/>
        </w:rPr>
        <w:t xml:space="preserve"> </w:t>
      </w:r>
      <w:r w:rsidR="009252D2" w:rsidRPr="00F955EE">
        <w:rPr>
          <w:rFonts w:cs="Cambria"/>
          <w:color w:val="000000"/>
          <w:lang w:val="es-ES"/>
        </w:rPr>
        <w:t>pud</w:t>
      </w:r>
      <w:r w:rsidR="00701DE2" w:rsidRPr="00F955EE">
        <w:rPr>
          <w:rFonts w:cs="Cambria"/>
          <w:color w:val="000000"/>
          <w:lang w:val="es-ES"/>
        </w:rPr>
        <w:t>ieron</w:t>
      </w:r>
      <w:r w:rsidR="007717F7" w:rsidRPr="00F955EE">
        <w:rPr>
          <w:lang w:val="es-ES" w:eastAsia="en-US"/>
        </w:rPr>
        <w:t xml:space="preserve"> </w:t>
      </w:r>
      <w:r w:rsidR="008C16CE" w:rsidRPr="00F955EE">
        <w:rPr>
          <w:rFonts w:cs="Cambria"/>
          <w:color w:val="000000"/>
          <w:lang w:val="es-ES"/>
        </w:rPr>
        <w:t xml:space="preserve">tampoco </w:t>
      </w:r>
      <w:r w:rsidR="007717F7" w:rsidRPr="00F955EE">
        <w:rPr>
          <w:lang w:val="es-ES" w:eastAsia="en-US"/>
        </w:rPr>
        <w:t xml:space="preserve">estar presente en </w:t>
      </w:r>
      <w:r w:rsidR="00701DE2" w:rsidRPr="00F955EE">
        <w:rPr>
          <w:lang w:val="es-ES" w:eastAsia="en-US"/>
        </w:rPr>
        <w:t>la</w:t>
      </w:r>
      <w:r w:rsidR="007717F7" w:rsidRPr="00F955EE">
        <w:rPr>
          <w:lang w:val="es-ES" w:eastAsia="en-US"/>
        </w:rPr>
        <w:t xml:space="preserve"> audiencia de desinsaculación del jurado, </w:t>
      </w:r>
      <w:r w:rsidR="008C16CE" w:rsidRPr="00F955EE">
        <w:rPr>
          <w:lang w:val="es-ES" w:eastAsia="en-US"/>
        </w:rPr>
        <w:t xml:space="preserve">o en la vista pública, </w:t>
      </w:r>
      <w:r w:rsidR="007717F7" w:rsidRPr="00F955EE">
        <w:rPr>
          <w:lang w:val="es-ES" w:eastAsia="en-US"/>
        </w:rPr>
        <w:t>lo que le</w:t>
      </w:r>
      <w:r w:rsidR="00701DE2" w:rsidRPr="00F955EE">
        <w:rPr>
          <w:lang w:val="es-ES" w:eastAsia="en-US"/>
        </w:rPr>
        <w:t xml:space="preserve">s </w:t>
      </w:r>
      <w:r w:rsidR="007717F7" w:rsidRPr="00F955EE">
        <w:rPr>
          <w:lang w:val="es-ES" w:eastAsia="en-US"/>
        </w:rPr>
        <w:t xml:space="preserve">habría </w:t>
      </w:r>
      <w:r w:rsidR="009252D2" w:rsidRPr="00F955EE">
        <w:rPr>
          <w:lang w:val="es-ES" w:eastAsia="en-US"/>
        </w:rPr>
        <w:t>permitido</w:t>
      </w:r>
      <w:r w:rsidR="007717F7" w:rsidRPr="00F955EE">
        <w:rPr>
          <w:lang w:val="es-ES" w:eastAsia="en-US"/>
        </w:rPr>
        <w:t xml:space="preserve"> recusar a algunos miembros</w:t>
      </w:r>
      <w:r w:rsidR="009252D2" w:rsidRPr="00F955EE">
        <w:rPr>
          <w:lang w:val="es-ES" w:eastAsia="en-US"/>
        </w:rPr>
        <w:t xml:space="preserve"> si lo hubiera considerado oportuno</w:t>
      </w:r>
      <w:r w:rsidR="009252D2" w:rsidRPr="00F955EE">
        <w:rPr>
          <w:rStyle w:val="Refdenotaalpie"/>
          <w:lang w:val="es-ES" w:eastAsia="en-US"/>
        </w:rPr>
        <w:footnoteReference w:id="118"/>
      </w:r>
      <w:r w:rsidR="007717F7" w:rsidRPr="00F955EE">
        <w:rPr>
          <w:lang w:val="es-ES" w:eastAsia="en-US"/>
        </w:rPr>
        <w:t xml:space="preserve">. </w:t>
      </w:r>
      <w:r w:rsidR="0030508E" w:rsidRPr="00F955EE">
        <w:rPr>
          <w:spacing w:val="-2"/>
          <w:lang w:val="es-ES"/>
        </w:rPr>
        <w:t>Al respecto, la Corte recuerda que las garantías establecidas en el artículo 8 de la Convención Americana suponen que las víctimas deben contar con amplias posibilidades de ser oídas y actuar en los procesos respectivos</w:t>
      </w:r>
      <w:r w:rsidR="0030508E" w:rsidRPr="00F955EE">
        <w:rPr>
          <w:spacing w:val="-2"/>
          <w:vertAlign w:val="superscript"/>
          <w:lang w:val="es-ES"/>
        </w:rPr>
        <w:footnoteReference w:id="119"/>
      </w:r>
      <w:r w:rsidR="0030508E" w:rsidRPr="00F955EE">
        <w:rPr>
          <w:spacing w:val="-2"/>
          <w:lang w:val="es-ES"/>
        </w:rPr>
        <w:t>, de manera que puedan formular sus pretensiones y presentar elementos probatorios y que éstos sean analizados de forma completa y seria por las autoridades antes de que se resuelva sobre hechos, responsabilidades, penas y reparaciones</w:t>
      </w:r>
      <w:r w:rsidR="0030508E" w:rsidRPr="00F955EE">
        <w:rPr>
          <w:spacing w:val="-2"/>
          <w:vertAlign w:val="superscript"/>
          <w:lang w:val="es-ES"/>
        </w:rPr>
        <w:footnoteReference w:id="120"/>
      </w:r>
      <w:r w:rsidR="0030508E" w:rsidRPr="00F955EE">
        <w:rPr>
          <w:spacing w:val="-2"/>
          <w:lang w:val="es-ES"/>
        </w:rPr>
        <w:t xml:space="preserve">. </w:t>
      </w:r>
      <w:r w:rsidR="00240576" w:rsidRPr="00216890">
        <w:rPr>
          <w:rFonts w:eastAsiaTheme="minorHAnsi" w:cstheme="minorBidi"/>
          <w:lang w:val="es-AR" w:eastAsia="en-US"/>
        </w:rPr>
        <w:t>Además, la Corte advierte que, según consta en el acervo probatorio del caso, transcurrieron más de diecisiete meses desde que se dictó la resolución que recogía el veredicto absolutorio</w:t>
      </w:r>
      <w:r w:rsidR="00240576" w:rsidRPr="00F955EE">
        <w:rPr>
          <w:rStyle w:val="Refdenotaalpie"/>
          <w:lang w:val="es-ES"/>
        </w:rPr>
        <w:footnoteReference w:id="121"/>
      </w:r>
      <w:r w:rsidR="00240576" w:rsidRPr="00216890">
        <w:rPr>
          <w:rFonts w:eastAsiaTheme="minorHAnsi" w:cstheme="minorBidi"/>
          <w:lang w:val="es-AR" w:eastAsia="en-US"/>
        </w:rPr>
        <w:t xml:space="preserve"> </w:t>
      </w:r>
      <w:r w:rsidR="00240576" w:rsidRPr="00216890">
        <w:rPr>
          <w:lang w:val="es-ES"/>
        </w:rPr>
        <w:t xml:space="preserve">hasta que la madre de los señores Roche Azaña, la señora </w:t>
      </w:r>
      <w:r w:rsidR="00240576" w:rsidRPr="00216890">
        <w:rPr>
          <w:lang w:val="es-ES" w:eastAsia="es-ES_tradnl"/>
        </w:rPr>
        <w:t>María Angelita Azaña Tenesaca,</w:t>
      </w:r>
      <w:r w:rsidR="00240576">
        <w:rPr>
          <w:lang w:val="es-ES" w:eastAsia="es-ES_tradnl"/>
        </w:rPr>
        <w:t xml:space="preserve"> tomó conocimiento de dicha resolución. </w:t>
      </w:r>
      <w:r w:rsidR="008C16CE" w:rsidRPr="00F955EE">
        <w:rPr>
          <w:spacing w:val="-2"/>
          <w:lang w:val="es-ES"/>
        </w:rPr>
        <w:t>En consecuencia, l</w:t>
      </w:r>
      <w:r w:rsidR="0030508E" w:rsidRPr="00F955EE">
        <w:rPr>
          <w:spacing w:val="-2"/>
          <w:lang w:val="es-ES"/>
        </w:rPr>
        <w:t xml:space="preserve">a actitud pasiva del Estado, relegando todas las garantías que </w:t>
      </w:r>
      <w:r w:rsidR="00701DE2" w:rsidRPr="00F955EE">
        <w:rPr>
          <w:spacing w:val="-2"/>
          <w:lang w:val="es-ES"/>
        </w:rPr>
        <w:t>poseía</w:t>
      </w:r>
      <w:r w:rsidR="00A15E04">
        <w:rPr>
          <w:spacing w:val="-2"/>
          <w:lang w:val="es-ES"/>
        </w:rPr>
        <w:t>n</w:t>
      </w:r>
      <w:r w:rsidR="0030508E" w:rsidRPr="00F955EE">
        <w:rPr>
          <w:spacing w:val="-2"/>
          <w:lang w:val="es-ES"/>
        </w:rPr>
        <w:t xml:space="preserve"> </w:t>
      </w:r>
      <w:r w:rsidR="00A15E04">
        <w:rPr>
          <w:spacing w:val="-2"/>
          <w:lang w:val="es-ES"/>
        </w:rPr>
        <w:t>las víctimas</w:t>
      </w:r>
      <w:r w:rsidR="0030508E" w:rsidRPr="00F955EE">
        <w:rPr>
          <w:spacing w:val="-2"/>
          <w:lang w:val="es-ES"/>
        </w:rPr>
        <w:t xml:space="preserve"> a la actividad del Procurador Penal, afectó gravemente el derecho del señor Roche Azaña </w:t>
      </w:r>
      <w:r w:rsidR="00701DE2" w:rsidRPr="00F955EE">
        <w:rPr>
          <w:spacing w:val="-2"/>
          <w:lang w:val="es-ES"/>
        </w:rPr>
        <w:t>y de sus padres a</w:t>
      </w:r>
      <w:r w:rsidR="0030508E" w:rsidRPr="00F955EE">
        <w:rPr>
          <w:spacing w:val="-2"/>
          <w:lang w:val="es-ES"/>
        </w:rPr>
        <w:t xml:space="preserve"> participar en el proceso penal</w:t>
      </w:r>
      <w:r w:rsidR="00A24404" w:rsidRPr="00F955EE">
        <w:rPr>
          <w:spacing w:val="-2"/>
          <w:lang w:val="es-ES"/>
        </w:rPr>
        <w:t>.</w:t>
      </w:r>
    </w:p>
    <w:p w14:paraId="4FA2E882" w14:textId="77D36CD2" w:rsidR="00216556" w:rsidRPr="00F955EE" w:rsidRDefault="00216556" w:rsidP="00216556">
      <w:pPr>
        <w:tabs>
          <w:tab w:val="left" w:pos="567"/>
          <w:tab w:val="left" w:pos="5387"/>
        </w:tabs>
        <w:rPr>
          <w:spacing w:val="-2"/>
          <w:lang w:val="es-ES"/>
        </w:rPr>
      </w:pPr>
    </w:p>
    <w:p w14:paraId="3BE5CFA5" w14:textId="189C8F4C" w:rsidR="00D6530B" w:rsidRDefault="00216556" w:rsidP="004F0770">
      <w:pPr>
        <w:numPr>
          <w:ilvl w:val="0"/>
          <w:numId w:val="4"/>
        </w:numPr>
        <w:tabs>
          <w:tab w:val="left" w:pos="567"/>
          <w:tab w:val="left" w:pos="5387"/>
          <w:tab w:val="num" w:pos="12305"/>
        </w:tabs>
        <w:ind w:left="0" w:firstLine="0"/>
        <w:rPr>
          <w:lang w:val="es-ES"/>
        </w:rPr>
      </w:pPr>
      <w:r w:rsidRPr="00F955EE">
        <w:rPr>
          <w:lang w:val="es-ES"/>
        </w:rPr>
        <w:t xml:space="preserve">Asimismo, debe </w:t>
      </w:r>
      <w:r w:rsidRPr="00F955EE">
        <w:rPr>
          <w:rFonts w:cs="Cambria"/>
          <w:color w:val="000000"/>
          <w:lang w:val="es-ES"/>
        </w:rPr>
        <w:t>tener</w:t>
      </w:r>
      <w:r w:rsidRPr="00F955EE">
        <w:rPr>
          <w:lang w:val="es-ES"/>
        </w:rPr>
        <w:t xml:space="preserve"> especial consideración el hecho de que el señor </w:t>
      </w:r>
      <w:r w:rsidR="00A15E04">
        <w:rPr>
          <w:lang w:val="es-ES"/>
        </w:rPr>
        <w:t xml:space="preserve">Patricio Fernando </w:t>
      </w:r>
      <w:r w:rsidRPr="00F955EE">
        <w:rPr>
          <w:lang w:val="es-ES"/>
        </w:rPr>
        <w:t>Roche Azaña era una persona migrante, que, por las características del presente caso, se encontraba en una clara situación de vulnerabilidad</w:t>
      </w:r>
      <w:r w:rsidRPr="00F955EE">
        <w:rPr>
          <w:rStyle w:val="Refdenotaalpie"/>
          <w:rFonts w:eastAsia="MS Mincho"/>
          <w:lang w:val="es-ES"/>
        </w:rPr>
        <w:footnoteReference w:id="122"/>
      </w:r>
      <w:r w:rsidRPr="00F955EE">
        <w:rPr>
          <w:lang w:val="es-ES"/>
        </w:rPr>
        <w:t xml:space="preserve">. La Corte recuerda que el debido proceso </w:t>
      </w:r>
      <w:r w:rsidRPr="00F955EE">
        <w:rPr>
          <w:lang w:val="es-ES"/>
        </w:rPr>
        <w:lastRenderedPageBreak/>
        <w:t>legal es un derecho que debe ser garantizado a toda persona, independientemente de su estatus migratorio</w:t>
      </w:r>
      <w:r w:rsidRPr="00F955EE">
        <w:rPr>
          <w:rStyle w:val="Refdenotaalpie"/>
          <w:rFonts w:eastAsia="MS Mincho"/>
          <w:lang w:val="es-ES"/>
        </w:rPr>
        <w:footnoteReference w:id="123"/>
      </w:r>
      <w:r w:rsidRPr="00F955EE">
        <w:rPr>
          <w:lang w:val="es-ES"/>
        </w:rPr>
        <w:t>.</w:t>
      </w:r>
      <w:r w:rsidR="00EF0040" w:rsidRPr="00F955EE">
        <w:rPr>
          <w:lang w:val="es-ES"/>
        </w:rPr>
        <w:t xml:space="preserve"> Asimismo, la Corte considera que</w:t>
      </w:r>
      <w:r w:rsidR="00F955EE">
        <w:rPr>
          <w:lang w:val="es-ES"/>
        </w:rPr>
        <w:t xml:space="preserve"> l</w:t>
      </w:r>
      <w:r w:rsidR="00EF0040" w:rsidRPr="00F955EE">
        <w:rPr>
          <w:rFonts w:cs="Calibri"/>
          <w:color w:val="000000"/>
          <w:lang w:val="es-AR" w:eastAsia="es-ES_tradnl"/>
        </w:rPr>
        <w:t xml:space="preserve">os Estados </w:t>
      </w:r>
      <w:r w:rsidR="00F955EE">
        <w:rPr>
          <w:rFonts w:cs="Calibri"/>
          <w:color w:val="000000"/>
          <w:lang w:val="es-AR" w:eastAsia="es-ES_tradnl"/>
        </w:rPr>
        <w:t>tienen el deber de asegurar</w:t>
      </w:r>
      <w:r w:rsidR="00EF0040" w:rsidRPr="00F955EE">
        <w:rPr>
          <w:rFonts w:cs="Calibri"/>
          <w:color w:val="000000"/>
          <w:lang w:val="es-AR" w:eastAsia="es-ES_tradnl"/>
        </w:rPr>
        <w:t xml:space="preserve"> que </w:t>
      </w:r>
      <w:r w:rsidR="00F955EE">
        <w:rPr>
          <w:rFonts w:cs="Calibri"/>
          <w:color w:val="000000"/>
          <w:lang w:val="es-AR" w:eastAsia="es-ES_tradnl"/>
        </w:rPr>
        <w:t>todas las personas</w:t>
      </w:r>
      <w:r w:rsidR="00EF0040" w:rsidRPr="00F955EE">
        <w:rPr>
          <w:rFonts w:cs="Calibri"/>
          <w:color w:val="000000"/>
          <w:lang w:val="es-AR" w:eastAsia="es-ES_tradnl"/>
        </w:rPr>
        <w:t xml:space="preserve"> </w:t>
      </w:r>
      <w:r w:rsidR="00F0000B">
        <w:rPr>
          <w:rFonts w:cs="Calibri"/>
          <w:color w:val="000000"/>
          <w:lang w:val="es-AR" w:eastAsia="es-ES_tradnl"/>
        </w:rPr>
        <w:t>q</w:t>
      </w:r>
      <w:r w:rsidR="00EF0040" w:rsidRPr="00F955EE">
        <w:rPr>
          <w:rFonts w:cs="Calibri"/>
          <w:color w:val="000000"/>
          <w:lang w:val="es-AR" w:eastAsia="es-ES_tradnl"/>
        </w:rPr>
        <w:t>ue hayan sufrido abusos o violaciones de los derechos humanos como resultado de las medidas de gobernanza de fronteras tengan un acceso equitativo y efectivo a la justicia, acceso a un recurso efectivo, a una reparación adecuada, efectiva y rápida del daño sufrido, así como a información pertinente sobre las violaciones de sus derechos y los mecanismos de reparación</w:t>
      </w:r>
      <w:r w:rsidR="00F955EE" w:rsidRPr="00F955EE">
        <w:rPr>
          <w:rStyle w:val="Refdenotaalpie"/>
          <w:rFonts w:cs="Calibri"/>
          <w:color w:val="000000"/>
          <w:lang w:val="es-AR" w:eastAsia="es-ES_tradnl"/>
        </w:rPr>
        <w:footnoteReference w:id="124"/>
      </w:r>
      <w:r w:rsidR="00EF0040" w:rsidRPr="00F955EE">
        <w:rPr>
          <w:rFonts w:cs="Calibri"/>
          <w:color w:val="000000"/>
          <w:lang w:val="es-AR" w:eastAsia="es-ES_tradnl"/>
        </w:rPr>
        <w:t xml:space="preserve">. </w:t>
      </w:r>
      <w:r w:rsidR="00D6530B">
        <w:rPr>
          <w:rFonts w:cs="Calibri"/>
          <w:color w:val="000000"/>
          <w:lang w:val="es-AR" w:eastAsia="es-ES_tradnl"/>
        </w:rPr>
        <w:t>En el marco de las operaciones realizadas en zonas fronterizas, l</w:t>
      </w:r>
      <w:r w:rsidR="00EF0040" w:rsidRPr="00F955EE">
        <w:rPr>
          <w:rFonts w:cs="Calibri"/>
          <w:color w:val="000000"/>
          <w:lang w:val="es-AR" w:eastAsia="es-ES_tradnl"/>
        </w:rPr>
        <w:t xml:space="preserve">os Estados </w:t>
      </w:r>
      <w:r w:rsidR="00F955EE">
        <w:rPr>
          <w:rFonts w:cs="Calibri"/>
          <w:color w:val="000000"/>
          <w:lang w:val="es-AR" w:eastAsia="es-ES_tradnl"/>
        </w:rPr>
        <w:t>tienen el deber de</w:t>
      </w:r>
      <w:r w:rsidR="00EF0040" w:rsidRPr="00F955EE">
        <w:rPr>
          <w:rFonts w:cs="Calibri"/>
          <w:color w:val="000000"/>
          <w:lang w:val="es-AR" w:eastAsia="es-ES_tradnl"/>
        </w:rPr>
        <w:t xml:space="preserve"> investigar y, cuando proceda, enjuiciar los abusos y violaciones de los derechos humanos</w:t>
      </w:r>
      <w:r w:rsidR="00D6530B">
        <w:rPr>
          <w:rFonts w:cs="Calibri"/>
          <w:color w:val="000000"/>
          <w:lang w:val="es-AR" w:eastAsia="es-ES_tradnl"/>
        </w:rPr>
        <w:t xml:space="preserve"> cometidos</w:t>
      </w:r>
      <w:r w:rsidR="00EF0040" w:rsidRPr="00F955EE">
        <w:rPr>
          <w:rFonts w:cs="Calibri"/>
          <w:color w:val="000000"/>
          <w:lang w:val="es-AR" w:eastAsia="es-ES_tradnl"/>
        </w:rPr>
        <w:t>, imponer penas acordes con la gravedad de los delitos, y tomar medidas para garantizar que no se repitan</w:t>
      </w:r>
      <w:r w:rsidR="00EF0040" w:rsidRPr="00F955EE">
        <w:rPr>
          <w:rStyle w:val="Refdenotaalpie"/>
          <w:rFonts w:cs="Calibri"/>
          <w:color w:val="000000"/>
          <w:lang w:val="es-AR" w:eastAsia="es-ES_tradnl"/>
        </w:rPr>
        <w:footnoteReference w:id="125"/>
      </w:r>
      <w:r w:rsidR="00EF0040" w:rsidRPr="00F955EE">
        <w:rPr>
          <w:rFonts w:cs="Calibri"/>
          <w:color w:val="000000"/>
          <w:lang w:val="es-AR" w:eastAsia="es-ES_tradnl"/>
        </w:rPr>
        <w:t>.</w:t>
      </w:r>
      <w:r w:rsidRPr="00F955EE">
        <w:rPr>
          <w:lang w:val="es-ES"/>
        </w:rPr>
        <w:t xml:space="preserve"> </w:t>
      </w:r>
    </w:p>
    <w:p w14:paraId="26276203" w14:textId="77777777" w:rsidR="00F0000B" w:rsidRDefault="00F0000B" w:rsidP="00D6530B">
      <w:pPr>
        <w:tabs>
          <w:tab w:val="left" w:pos="567"/>
          <w:tab w:val="left" w:pos="5387"/>
        </w:tabs>
        <w:rPr>
          <w:lang w:val="es-ES"/>
        </w:rPr>
      </w:pPr>
    </w:p>
    <w:p w14:paraId="0644872F" w14:textId="766BA8AA" w:rsidR="00216556" w:rsidRPr="00F955EE" w:rsidRDefault="00216556" w:rsidP="004F0770">
      <w:pPr>
        <w:numPr>
          <w:ilvl w:val="0"/>
          <w:numId w:val="4"/>
        </w:numPr>
        <w:tabs>
          <w:tab w:val="left" w:pos="567"/>
          <w:tab w:val="left" w:pos="5387"/>
          <w:tab w:val="num" w:pos="12305"/>
        </w:tabs>
        <w:ind w:left="0" w:firstLine="0"/>
        <w:rPr>
          <w:lang w:val="es-ES"/>
        </w:rPr>
      </w:pPr>
      <w:r w:rsidRPr="00F955EE">
        <w:rPr>
          <w:lang w:val="es-ES"/>
        </w:rPr>
        <w:t>La Corte observa que, en el presente caso, la condición de migrante del señor Roche Azaña tuvo un impacto</w:t>
      </w:r>
      <w:r w:rsidR="00D6530B">
        <w:rPr>
          <w:lang w:val="es-ES"/>
        </w:rPr>
        <w:t xml:space="preserve"> fundamental</w:t>
      </w:r>
      <w:r w:rsidRPr="00F955EE">
        <w:rPr>
          <w:lang w:val="es-ES"/>
        </w:rPr>
        <w:t xml:space="preserve"> en su </w:t>
      </w:r>
      <w:r w:rsidR="00240576">
        <w:rPr>
          <w:lang w:val="es-ES"/>
        </w:rPr>
        <w:t>ausencia de</w:t>
      </w:r>
      <w:r w:rsidR="00F0000B" w:rsidRPr="000B64C0">
        <w:rPr>
          <w:lang w:val="es-ES"/>
        </w:rPr>
        <w:t xml:space="preserve"> </w:t>
      </w:r>
      <w:r w:rsidRPr="000B64C0">
        <w:rPr>
          <w:lang w:val="es-ES"/>
        </w:rPr>
        <w:t>participación</w:t>
      </w:r>
      <w:r w:rsidRPr="00F955EE">
        <w:rPr>
          <w:lang w:val="es-ES"/>
        </w:rPr>
        <w:t xml:space="preserve"> en el proceso. </w:t>
      </w:r>
      <w:r w:rsidR="00A15E04">
        <w:rPr>
          <w:lang w:val="es-ES"/>
        </w:rPr>
        <w:t>A este respecto</w:t>
      </w:r>
      <w:r w:rsidRPr="00F955EE">
        <w:rPr>
          <w:lang w:val="es-ES"/>
        </w:rPr>
        <w:t xml:space="preserve"> la Corte </w:t>
      </w:r>
      <w:r w:rsidR="00D6530B">
        <w:rPr>
          <w:lang w:val="es-ES"/>
        </w:rPr>
        <w:t>nota</w:t>
      </w:r>
      <w:r w:rsidRPr="00F955EE">
        <w:rPr>
          <w:lang w:val="es-ES"/>
        </w:rPr>
        <w:t xml:space="preserve"> que, una vez el señor Roche Azaña recuperó la conciencia, permaneció en el país al menos cinco meses más hasta que finalmente retornó a Ecuador (</w:t>
      </w:r>
      <w:r w:rsidRPr="00F955EE">
        <w:rPr>
          <w:i/>
          <w:iCs/>
          <w:lang w:val="es-ES"/>
        </w:rPr>
        <w:t>supra</w:t>
      </w:r>
      <w:r w:rsidRPr="00F955EE">
        <w:rPr>
          <w:lang w:val="es-ES"/>
        </w:rPr>
        <w:t xml:space="preserve"> párr. </w:t>
      </w:r>
      <w:r w:rsidR="00240576">
        <w:rPr>
          <w:lang w:val="es-ES"/>
        </w:rPr>
        <w:t>30</w:t>
      </w:r>
      <w:r w:rsidRPr="00F955EE">
        <w:rPr>
          <w:lang w:val="es-ES"/>
        </w:rPr>
        <w:t xml:space="preserve">). </w:t>
      </w:r>
      <w:r w:rsidR="00A15E04">
        <w:rPr>
          <w:lang w:val="es-ES"/>
        </w:rPr>
        <w:t>El Tribunal</w:t>
      </w:r>
      <w:r w:rsidRPr="00F955EE">
        <w:rPr>
          <w:lang w:val="es-ES"/>
        </w:rPr>
        <w:t xml:space="preserve"> </w:t>
      </w:r>
      <w:r w:rsidR="00A15E04">
        <w:rPr>
          <w:lang w:val="es-ES"/>
        </w:rPr>
        <w:t>advierte</w:t>
      </w:r>
      <w:r w:rsidRPr="00F955EE">
        <w:rPr>
          <w:lang w:val="es-ES"/>
        </w:rPr>
        <w:t xml:space="preserve"> que, al menos durante esos cinco meses en los que el señor Roche Azaña permaneció en Nicaragua, éste no fue informado por parte del Estado de la existencia de un proceso penal en contra de los autores de los disparos, ni le fue prestada ningún tipo de asistencia técnica que pudiera compensar el desconocimiento de un sistema legal -extranjero y ajeno para él- que supuestamente le amparaba. Lo anterior, con el objetivo de que el señor </w:t>
      </w:r>
      <w:r w:rsidR="00A15E04">
        <w:rPr>
          <w:lang w:val="es-ES"/>
        </w:rPr>
        <w:t xml:space="preserve">Patricio Fernando </w:t>
      </w:r>
      <w:r w:rsidRPr="00F955EE">
        <w:rPr>
          <w:lang w:val="es-ES"/>
        </w:rPr>
        <w:t>Roche Azaña pudiera hacer valer sus derechos y defender sus intereses en forma efectiva y en condiciones de igualdad procesal con otros justiciables</w:t>
      </w:r>
      <w:r w:rsidR="00A15E04">
        <w:rPr>
          <w:lang w:val="es-ES"/>
        </w:rPr>
        <w:t>.</w:t>
      </w:r>
    </w:p>
    <w:p w14:paraId="293B475E" w14:textId="77777777" w:rsidR="00A74556" w:rsidRPr="00F955EE" w:rsidRDefault="00A74556" w:rsidP="00216556">
      <w:pPr>
        <w:tabs>
          <w:tab w:val="left" w:pos="567"/>
          <w:tab w:val="num" w:pos="12305"/>
        </w:tabs>
        <w:rPr>
          <w:b/>
          <w:bCs/>
          <w:lang w:val="es-ES"/>
        </w:rPr>
      </w:pPr>
    </w:p>
    <w:p w14:paraId="4132C3C0" w14:textId="335C82F9" w:rsidR="00046153" w:rsidRPr="00046153" w:rsidRDefault="00216556" w:rsidP="004F0770">
      <w:pPr>
        <w:numPr>
          <w:ilvl w:val="0"/>
          <w:numId w:val="4"/>
        </w:numPr>
        <w:tabs>
          <w:tab w:val="left" w:pos="567"/>
          <w:tab w:val="left" w:pos="5387"/>
          <w:tab w:val="num" w:pos="12305"/>
        </w:tabs>
        <w:ind w:left="0" w:firstLine="0"/>
        <w:rPr>
          <w:b/>
          <w:bCs/>
          <w:color w:val="000000" w:themeColor="text1"/>
          <w:lang w:val="es-ES"/>
        </w:rPr>
      </w:pPr>
      <w:r w:rsidRPr="00D6530B">
        <w:rPr>
          <w:color w:val="000000" w:themeColor="text1"/>
          <w:lang w:val="es-ES"/>
        </w:rPr>
        <w:t xml:space="preserve">El señor </w:t>
      </w:r>
      <w:r w:rsidR="00A15E04">
        <w:rPr>
          <w:lang w:val="es-ES"/>
        </w:rPr>
        <w:t xml:space="preserve">Patricio Fernando </w:t>
      </w:r>
      <w:r w:rsidRPr="00D6530B">
        <w:rPr>
          <w:color w:val="000000" w:themeColor="text1"/>
          <w:lang w:val="es-ES"/>
        </w:rPr>
        <w:t xml:space="preserve">Roche Azaña se encontraba, por tanto, en una situación de desigualdad real </w:t>
      </w:r>
      <w:r w:rsidR="00D6530B" w:rsidRPr="00D6530B">
        <w:rPr>
          <w:color w:val="000000" w:themeColor="text1"/>
          <w:lang w:val="es-ES"/>
        </w:rPr>
        <w:t>debido a</w:t>
      </w:r>
      <w:r w:rsidRPr="00D6530B">
        <w:rPr>
          <w:color w:val="000000" w:themeColor="text1"/>
          <w:lang w:val="es-ES"/>
        </w:rPr>
        <w:t xml:space="preserve"> su estatus migratorio que obligaba al Estado a adoptar determinadas medidas especiales </w:t>
      </w:r>
      <w:r w:rsidRPr="00D6530B">
        <w:rPr>
          <w:rFonts w:cs="Cambria"/>
          <w:color w:val="000000" w:themeColor="text1"/>
          <w:lang w:val="es-ES"/>
        </w:rPr>
        <w:t>que contribuyeran a reducir o eliminar los obstáculos y deficiencias que impidieron la defensa eficaz de sus intereses por el mero hecho de ser migrante</w:t>
      </w:r>
      <w:r w:rsidR="00D6530B" w:rsidRPr="00D6530B">
        <w:rPr>
          <w:rStyle w:val="Refdenotaalpie"/>
          <w:color w:val="000000" w:themeColor="text1"/>
          <w:lang w:val="es-ES"/>
        </w:rPr>
        <w:footnoteReference w:id="126"/>
      </w:r>
      <w:r w:rsidR="00D6530B">
        <w:rPr>
          <w:rFonts w:cs="Cambria"/>
          <w:color w:val="000000" w:themeColor="text1"/>
          <w:lang w:val="es-ES"/>
        </w:rPr>
        <w:t xml:space="preserve">. </w:t>
      </w:r>
      <w:r w:rsidR="00D6530B" w:rsidRPr="000B64C0">
        <w:rPr>
          <w:rFonts w:cs="Cambria"/>
          <w:color w:val="000000" w:themeColor="text1"/>
          <w:lang w:val="es-ES"/>
        </w:rPr>
        <w:t>C</w:t>
      </w:r>
      <w:r w:rsidRPr="000B64C0">
        <w:rPr>
          <w:color w:val="000000" w:themeColor="text1"/>
        </w:rPr>
        <w:t xml:space="preserve">uando no existen </w:t>
      </w:r>
      <w:r w:rsidR="000B64C0" w:rsidRPr="000B64C0">
        <w:rPr>
          <w:color w:val="000000" w:themeColor="text1"/>
        </w:rPr>
        <w:t>estas</w:t>
      </w:r>
      <w:r w:rsidR="007F72C3" w:rsidRPr="000B64C0">
        <w:rPr>
          <w:color w:val="000000" w:themeColor="text1"/>
        </w:rPr>
        <w:t xml:space="preserve"> medidas para garantizar un efectivo e igualitario acceso a la justicia de las personas que se encuentran en una situación de vulnerabilidad</w:t>
      </w:r>
      <w:r w:rsidR="007F72C3" w:rsidRPr="000B64C0">
        <w:rPr>
          <w:rStyle w:val="Refdenotaalpie"/>
          <w:color w:val="000000" w:themeColor="text1"/>
        </w:rPr>
        <w:footnoteReference w:id="127"/>
      </w:r>
      <w:r w:rsidR="007F72C3" w:rsidRPr="000B64C0">
        <w:rPr>
          <w:color w:val="000000" w:themeColor="text1"/>
        </w:rPr>
        <w:t>,</w:t>
      </w:r>
      <w:r w:rsidR="007F72C3">
        <w:rPr>
          <w:color w:val="000000" w:themeColor="text1"/>
        </w:rPr>
        <w:t xml:space="preserve"> </w:t>
      </w:r>
      <w:r w:rsidRPr="00D6530B">
        <w:rPr>
          <w:color w:val="000000" w:themeColor="text1"/>
        </w:rPr>
        <w:t>difícilmente se puede afirmar que quienes se encuentran en esas condiciones de desventaja disfrutan de un verdadero acceso a la justicia y se benefician de un debido proceso legal en condiciones de igualdad con quienes no afrontan esas desventajas</w:t>
      </w:r>
      <w:r w:rsidRPr="00D6530B">
        <w:rPr>
          <w:rStyle w:val="Refdenotaalpie"/>
          <w:color w:val="000000" w:themeColor="text1"/>
          <w:lang w:val="es-ES"/>
        </w:rPr>
        <w:footnoteReference w:id="128"/>
      </w:r>
      <w:r w:rsidRPr="00D6530B">
        <w:rPr>
          <w:color w:val="000000" w:themeColor="text1"/>
          <w:lang w:val="es-ES"/>
        </w:rPr>
        <w:t>.</w:t>
      </w:r>
      <w:r w:rsidR="002D14B0">
        <w:rPr>
          <w:color w:val="000000" w:themeColor="text1"/>
        </w:rPr>
        <w:t xml:space="preserve"> </w:t>
      </w:r>
    </w:p>
    <w:p w14:paraId="01F4D628" w14:textId="77777777" w:rsidR="007F72C3" w:rsidRPr="003C6C8B" w:rsidRDefault="007F72C3" w:rsidP="007F72C3">
      <w:pPr>
        <w:tabs>
          <w:tab w:val="left" w:pos="567"/>
        </w:tabs>
        <w:rPr>
          <w:rFonts w:eastAsiaTheme="minorHAnsi" w:cs="Arial"/>
          <w:lang w:val="es-ES" w:eastAsia="en-US"/>
        </w:rPr>
      </w:pPr>
    </w:p>
    <w:p w14:paraId="4DC072D9" w14:textId="1B38429B" w:rsidR="00EF5EBB" w:rsidRPr="00AC3D07" w:rsidRDefault="00EF5EBB" w:rsidP="004F0770">
      <w:pPr>
        <w:numPr>
          <w:ilvl w:val="0"/>
          <w:numId w:val="4"/>
        </w:numPr>
        <w:tabs>
          <w:tab w:val="left" w:pos="567"/>
          <w:tab w:val="num" w:pos="12305"/>
        </w:tabs>
        <w:ind w:left="0" w:firstLine="0"/>
        <w:rPr>
          <w:rFonts w:eastAsiaTheme="minorHAnsi" w:cs="Arial"/>
          <w:lang w:val="es-ES" w:eastAsia="en-US"/>
        </w:rPr>
      </w:pPr>
      <w:r w:rsidRPr="003C6C8B">
        <w:rPr>
          <w:lang w:val="es-ES" w:eastAsia="es-ES_tradnl"/>
        </w:rPr>
        <w:t xml:space="preserve">Por todo lo anteriormente expuesto, </w:t>
      </w:r>
      <w:r w:rsidR="007F5FC6" w:rsidRPr="003C6C8B">
        <w:rPr>
          <w:lang w:val="es-ES" w:eastAsia="es-ES_tradnl"/>
        </w:rPr>
        <w:t>la Corte</w:t>
      </w:r>
      <w:r w:rsidRPr="003C6C8B">
        <w:rPr>
          <w:lang w:val="es-ES" w:eastAsia="es-ES_tradnl"/>
        </w:rPr>
        <w:t xml:space="preserve"> concluye que el Estado </w:t>
      </w:r>
      <w:r w:rsidR="007C357D" w:rsidRPr="003C6C8B">
        <w:rPr>
          <w:lang w:val="es-ES" w:eastAsia="es-ES_tradnl"/>
        </w:rPr>
        <w:t xml:space="preserve">no garantizó el derecho de acceso a la justicia y, por tanto, </w:t>
      </w:r>
      <w:r w:rsidRPr="003C6C8B">
        <w:rPr>
          <w:lang w:val="es-ES" w:eastAsia="es-ES_tradnl"/>
        </w:rPr>
        <w:t xml:space="preserve">violó </w:t>
      </w:r>
      <w:r w:rsidR="00FF276C" w:rsidRPr="003C6C8B">
        <w:rPr>
          <w:lang w:val="es-ES" w:eastAsia="es-ES_tradnl"/>
        </w:rPr>
        <w:t>las garantías judiciales y protección judicial</w:t>
      </w:r>
      <w:r w:rsidR="00073397" w:rsidRPr="003C6C8B">
        <w:rPr>
          <w:lang w:val="es-ES" w:eastAsia="es-ES_tradnl"/>
        </w:rPr>
        <w:t xml:space="preserve"> </w:t>
      </w:r>
      <w:r w:rsidR="007F5FC6" w:rsidRPr="003C6C8B">
        <w:rPr>
          <w:lang w:val="es-ES" w:eastAsia="es-ES_tradnl"/>
        </w:rPr>
        <w:t>consagrado</w:t>
      </w:r>
      <w:r w:rsidR="00073397" w:rsidRPr="003C6C8B">
        <w:rPr>
          <w:lang w:val="es-ES" w:eastAsia="es-ES_tradnl"/>
        </w:rPr>
        <w:t>s</w:t>
      </w:r>
      <w:r w:rsidRPr="003C6C8B">
        <w:rPr>
          <w:lang w:val="es-ES" w:eastAsia="es-ES_tradnl"/>
        </w:rPr>
        <w:t xml:space="preserve"> en </w:t>
      </w:r>
      <w:r w:rsidR="008D1DB7" w:rsidRPr="003C6C8B">
        <w:rPr>
          <w:lang w:val="es-ES" w:eastAsia="es-ES_tradnl"/>
        </w:rPr>
        <w:t xml:space="preserve">los </w:t>
      </w:r>
      <w:r w:rsidR="007F5FC6" w:rsidRPr="003C6C8B">
        <w:rPr>
          <w:lang w:val="es-ES" w:eastAsia="es-ES_tradnl"/>
        </w:rPr>
        <w:t>artículo</w:t>
      </w:r>
      <w:r w:rsidR="008D1DB7" w:rsidRPr="003C6C8B">
        <w:rPr>
          <w:lang w:val="es-ES" w:eastAsia="es-ES_tradnl"/>
        </w:rPr>
        <w:t>s</w:t>
      </w:r>
      <w:r w:rsidRPr="003C6C8B">
        <w:rPr>
          <w:lang w:val="es-ES" w:eastAsia="es-ES_tradnl"/>
        </w:rPr>
        <w:t xml:space="preserve"> 8.1</w:t>
      </w:r>
      <w:r w:rsidR="008D1DB7" w:rsidRPr="003C6C8B">
        <w:rPr>
          <w:lang w:val="es-ES" w:eastAsia="es-ES_tradnl"/>
        </w:rPr>
        <w:t xml:space="preserve"> y 25</w:t>
      </w:r>
      <w:r w:rsidRPr="003C6C8B">
        <w:rPr>
          <w:lang w:val="es-ES" w:eastAsia="es-ES_tradnl"/>
        </w:rPr>
        <w:t xml:space="preserve"> de la </w:t>
      </w:r>
      <w:r w:rsidR="009F6981" w:rsidRPr="003C6C8B">
        <w:rPr>
          <w:lang w:val="es-ES" w:eastAsia="es-ES_tradnl"/>
        </w:rPr>
        <w:t>Convención</w:t>
      </w:r>
      <w:r w:rsidR="007F5FC6" w:rsidRPr="003C6C8B">
        <w:rPr>
          <w:lang w:val="es-ES" w:eastAsia="es-ES_tradnl"/>
        </w:rPr>
        <w:t xml:space="preserve"> Americana</w:t>
      </w:r>
      <w:r w:rsidRPr="003C6C8B">
        <w:rPr>
          <w:lang w:val="es-ES" w:eastAsia="es-ES_tradnl"/>
        </w:rPr>
        <w:t xml:space="preserve">, en </w:t>
      </w:r>
      <w:r w:rsidR="007F5FC6" w:rsidRPr="003C6C8B">
        <w:rPr>
          <w:lang w:val="es-ES" w:eastAsia="es-ES_tradnl"/>
        </w:rPr>
        <w:t xml:space="preserve">relación con el artículo 1.1 del mismo instrumento, </w:t>
      </w:r>
      <w:r w:rsidR="005F4241" w:rsidRPr="003C6C8B">
        <w:rPr>
          <w:lang w:val="es-ES" w:eastAsia="es-ES_tradnl"/>
        </w:rPr>
        <w:t xml:space="preserve">en </w:t>
      </w:r>
      <w:r w:rsidRPr="003C6C8B">
        <w:rPr>
          <w:lang w:val="es-ES" w:eastAsia="es-ES_tradnl"/>
        </w:rPr>
        <w:t xml:space="preserve">perjuicio de </w:t>
      </w:r>
      <w:r w:rsidR="007F5FC6" w:rsidRPr="003C6C8B">
        <w:rPr>
          <w:lang w:val="es-ES" w:eastAsia="es-ES_tradnl"/>
        </w:rPr>
        <w:t>Patricio Fernando Roche Azaña</w:t>
      </w:r>
      <w:r w:rsidR="00701DE2" w:rsidRPr="003C6C8B">
        <w:rPr>
          <w:lang w:val="es-ES" w:eastAsia="es-ES_tradnl"/>
        </w:rPr>
        <w:t xml:space="preserve">, </w:t>
      </w:r>
      <w:r w:rsidR="008C16CE" w:rsidRPr="003C6C8B">
        <w:rPr>
          <w:lang w:val="es-ES" w:eastAsia="es-ES_tradnl"/>
        </w:rPr>
        <w:t xml:space="preserve">y de sus padres </w:t>
      </w:r>
      <w:r w:rsidR="00701DE2" w:rsidRPr="003C6C8B">
        <w:rPr>
          <w:lang w:val="es-ES" w:eastAsia="es-ES_tradnl"/>
        </w:rPr>
        <w:t xml:space="preserve">María Angelita Azaña Tenesaca y José Fernando Roche </w:t>
      </w:r>
      <w:r w:rsidR="009F6981" w:rsidRPr="003C6C8B">
        <w:rPr>
          <w:lang w:val="es-ES" w:eastAsia="es-ES_tradnl"/>
        </w:rPr>
        <w:t>Zhizhingo</w:t>
      </w:r>
      <w:r w:rsidRPr="003C6C8B">
        <w:rPr>
          <w:lang w:val="es-ES" w:eastAsia="es-ES_tradnl"/>
        </w:rPr>
        <w:t>.</w:t>
      </w:r>
    </w:p>
    <w:p w14:paraId="0DC36201" w14:textId="0C3508C4" w:rsidR="00B94FDB" w:rsidRPr="000B64C0" w:rsidRDefault="00EE77EB" w:rsidP="000B64C0">
      <w:pPr>
        <w:pStyle w:val="Ttulo3"/>
        <w:rPr>
          <w:lang w:val="es-ES"/>
        </w:rPr>
      </w:pPr>
      <w:r w:rsidRPr="00F955EE">
        <w:rPr>
          <w:lang w:val="es-ES"/>
        </w:rPr>
        <w:tab/>
      </w:r>
      <w:bookmarkStart w:id="55" w:name="_Toc43216163"/>
      <w:r w:rsidRPr="00F955EE">
        <w:rPr>
          <w:lang w:val="es-ES"/>
        </w:rPr>
        <w:t>b.</w:t>
      </w:r>
      <w:r w:rsidR="00B94FDB">
        <w:rPr>
          <w:lang w:val="es-ES"/>
        </w:rPr>
        <w:t>2</w:t>
      </w:r>
      <w:r w:rsidRPr="00F955EE">
        <w:rPr>
          <w:lang w:val="es-ES"/>
        </w:rPr>
        <w:t xml:space="preserve"> </w:t>
      </w:r>
      <w:r w:rsidR="00B94FDB" w:rsidRPr="00B94FDB">
        <w:rPr>
          <w:lang w:val="es-ES"/>
        </w:rPr>
        <w:t>Deber de motivación del veredicto de un jurado</w:t>
      </w:r>
      <w:r w:rsidR="00B94FDB">
        <w:rPr>
          <w:lang w:val="es-ES"/>
        </w:rPr>
        <w:t xml:space="preserve"> </w:t>
      </w:r>
      <w:r w:rsidR="00B94FDB" w:rsidRPr="000B64C0">
        <w:rPr>
          <w:lang w:val="es-ES"/>
        </w:rPr>
        <w:t>y a</w:t>
      </w:r>
      <w:r w:rsidR="005C3457" w:rsidRPr="000B64C0">
        <w:rPr>
          <w:lang w:val="es-ES"/>
        </w:rPr>
        <w:t>usencia</w:t>
      </w:r>
      <w:r w:rsidRPr="000B64C0">
        <w:rPr>
          <w:lang w:val="es-ES"/>
        </w:rPr>
        <w:t xml:space="preserve"> de recurso </w:t>
      </w:r>
      <w:r w:rsidR="005C3457" w:rsidRPr="000B64C0">
        <w:rPr>
          <w:lang w:val="es-ES"/>
        </w:rPr>
        <w:t>contra el veredicto absolutorio</w:t>
      </w:r>
      <w:bookmarkEnd w:id="55"/>
    </w:p>
    <w:p w14:paraId="1C957E37" w14:textId="1F373C98" w:rsidR="00B94FDB" w:rsidRPr="000B64C0" w:rsidRDefault="00B94FDB" w:rsidP="004F0770">
      <w:pPr>
        <w:widowControl/>
        <w:numPr>
          <w:ilvl w:val="0"/>
          <w:numId w:val="4"/>
        </w:numPr>
        <w:tabs>
          <w:tab w:val="left" w:pos="567"/>
          <w:tab w:val="num" w:pos="12305"/>
        </w:tabs>
        <w:adjustRightInd/>
        <w:ind w:left="0" w:firstLine="0"/>
        <w:textAlignment w:val="auto"/>
        <w:rPr>
          <w:lang w:val="es-ES"/>
        </w:rPr>
      </w:pPr>
      <w:r w:rsidRPr="000B64C0">
        <w:rPr>
          <w:lang w:val="es-ES"/>
        </w:rPr>
        <w:t xml:space="preserve">Con respecto a los alegatos referidos a la </w:t>
      </w:r>
      <w:r w:rsidR="00CB14BB" w:rsidRPr="000B64C0">
        <w:rPr>
          <w:lang w:val="es-ES"/>
        </w:rPr>
        <w:t>supuesta</w:t>
      </w:r>
      <w:r w:rsidRPr="000B64C0">
        <w:rPr>
          <w:lang w:val="es-ES"/>
        </w:rPr>
        <w:t xml:space="preserve"> violación de las garantías judiciales en el marco del juicio por Jurados llevado a cabo por los hechos del presente caso, la Corte ya ha tenido oportunidad de pronunciarse al respecto en el </w:t>
      </w:r>
      <w:r w:rsidRPr="000B64C0">
        <w:rPr>
          <w:i/>
          <w:iCs/>
          <w:lang w:val="es-ES"/>
        </w:rPr>
        <w:t>Caso V.R.P., V.P.C. y otros Vs. Nicaragua</w:t>
      </w:r>
      <w:r w:rsidRPr="000B64C0">
        <w:rPr>
          <w:rStyle w:val="Refdenotaalpie"/>
          <w:lang w:val="es-ES"/>
        </w:rPr>
        <w:footnoteReference w:id="129"/>
      </w:r>
      <w:r w:rsidRPr="000B64C0">
        <w:rPr>
          <w:i/>
          <w:iCs/>
          <w:lang w:val="es-ES"/>
        </w:rPr>
        <w:t xml:space="preserve">, </w:t>
      </w:r>
      <w:r w:rsidRPr="000B64C0">
        <w:rPr>
          <w:lang w:val="es-ES"/>
        </w:rPr>
        <w:t>en el cual resaltó que</w:t>
      </w:r>
      <w:r w:rsidRPr="000B64C0">
        <w:rPr>
          <w:i/>
          <w:iCs/>
          <w:lang w:val="es-ES"/>
        </w:rPr>
        <w:t xml:space="preserve"> </w:t>
      </w:r>
      <w:r w:rsidRPr="000B64C0">
        <w:rPr>
          <w:lang w:val="es-AR"/>
        </w:rPr>
        <w:t>la Convención Americana no establece un modelo único de enjuiciamiento penal</w:t>
      </w:r>
      <w:r w:rsidR="00240576">
        <w:rPr>
          <w:lang w:val="es-AR"/>
        </w:rPr>
        <w:t>, si bien</w:t>
      </w:r>
      <w:r w:rsidRPr="000B64C0">
        <w:rPr>
          <w:lang w:val="es-AR"/>
        </w:rPr>
        <w:t xml:space="preserve"> el diseño de los ordenamientos procesales debe responder a los postulados de garantía que exige la Convención Americana. En esta línea</w:t>
      </w:r>
      <w:r w:rsidRPr="000B64C0">
        <w:rPr>
          <w:lang w:val="es-ES"/>
        </w:rPr>
        <w:t>, este Tribunal se pronunció sobre el juicio por jurados del sistema nicaragüense y su compatibilidad con los estándares interamericanos. Se destaca</w:t>
      </w:r>
      <w:r w:rsidR="0099092B">
        <w:rPr>
          <w:lang w:val="es-ES"/>
        </w:rPr>
        <w:t>,</w:t>
      </w:r>
      <w:r w:rsidRPr="000B64C0">
        <w:rPr>
          <w:lang w:val="es-ES"/>
        </w:rPr>
        <w:t xml:space="preserve"> en particular</w:t>
      </w:r>
      <w:r w:rsidR="0099092B">
        <w:rPr>
          <w:lang w:val="es-ES"/>
        </w:rPr>
        <w:t>,</w:t>
      </w:r>
      <w:r w:rsidRPr="000B64C0">
        <w:rPr>
          <w:lang w:val="es-ES"/>
        </w:rPr>
        <w:t xml:space="preserve"> que</w:t>
      </w:r>
      <w:r w:rsidR="00240576">
        <w:rPr>
          <w:lang w:val="es-ES"/>
        </w:rPr>
        <w:t xml:space="preserve"> en</w:t>
      </w:r>
      <w:r w:rsidRPr="000B64C0">
        <w:rPr>
          <w:lang w:val="es-ES"/>
        </w:rPr>
        <w:t xml:space="preserve"> el referido caso la</w:t>
      </w:r>
      <w:r w:rsidR="002D14B0">
        <w:rPr>
          <w:lang w:val="es-ES"/>
        </w:rPr>
        <w:t xml:space="preserve"> </w:t>
      </w:r>
      <w:r w:rsidRPr="000B64C0">
        <w:rPr>
          <w:lang w:val="es-ES"/>
        </w:rPr>
        <w:t xml:space="preserve">Corte señaló </w:t>
      </w:r>
      <w:r w:rsidRPr="000B64C0">
        <w:rPr>
          <w:rFonts w:eastAsia="Calibri"/>
          <w:kern w:val="1"/>
          <w:lang w:val="es-ES"/>
        </w:rPr>
        <w:t>que</w:t>
      </w:r>
      <w:r w:rsidRPr="000B64C0">
        <w:rPr>
          <w:lang w:val="es-ES"/>
        </w:rPr>
        <w:t xml:space="preserve"> la falta de exteriorización de la fundamentación del veredicto no vulnera en sí misma la garantía de la motivación ya que, en efecto, todo veredicto siempre tiene motivación, </w:t>
      </w:r>
      <w:r w:rsidRPr="000B64C0">
        <w:rPr>
          <w:lang w:val="es-ES" w:eastAsia="en-US"/>
        </w:rPr>
        <w:t>aunque</w:t>
      </w:r>
      <w:r w:rsidRPr="000B64C0">
        <w:rPr>
          <w:lang w:val="es-ES"/>
        </w:rPr>
        <w:t xml:space="preserve"> como corresponde a la esencia del jurado, no se expresa. L</w:t>
      </w:r>
      <w:r w:rsidRPr="000B64C0">
        <w:rPr>
          <w:lang w:val="es-AR"/>
        </w:rPr>
        <w:t>a Corte consideró que</w:t>
      </w:r>
      <w:r w:rsidR="002D14B0">
        <w:rPr>
          <w:lang w:val="es-AR"/>
        </w:rPr>
        <w:t xml:space="preserve"> </w:t>
      </w:r>
      <w:r w:rsidRPr="000B64C0">
        <w:rPr>
          <w:lang w:val="es-ES"/>
        </w:rPr>
        <w:t>lo que correspondía analizar era si el procedimiento penal en su conjunto ofrec</w:t>
      </w:r>
      <w:r w:rsidR="006243CC">
        <w:rPr>
          <w:lang w:val="es-ES"/>
        </w:rPr>
        <w:t>ía</w:t>
      </w:r>
      <w:r w:rsidRPr="000B64C0">
        <w:rPr>
          <w:lang w:val="es-ES"/>
        </w:rPr>
        <w:t xml:space="preserve"> mecanismos de salvaguardia contra la arbitrariedad y que permitieran comprender las razones del veredicto –no acotado al acusado sino también a la víctima o a la parte acusadora-</w:t>
      </w:r>
      <w:r w:rsidRPr="000B64C0">
        <w:rPr>
          <w:vertAlign w:val="superscript"/>
          <w:lang w:val="es-ES"/>
        </w:rPr>
        <w:footnoteReference w:id="130"/>
      </w:r>
      <w:r w:rsidRPr="000B64C0">
        <w:rPr>
          <w:lang w:val="es-ES"/>
        </w:rPr>
        <w:t>.</w:t>
      </w:r>
      <w:r w:rsidRPr="000B64C0">
        <w:rPr>
          <w:strike/>
          <w:lang w:val="es-ES"/>
        </w:rPr>
        <w:t xml:space="preserve"> </w:t>
      </w:r>
    </w:p>
    <w:p w14:paraId="2E17CF23" w14:textId="77777777" w:rsidR="00B94FDB" w:rsidRPr="00B94FDB" w:rsidRDefault="00B94FDB" w:rsidP="00B94FDB">
      <w:pPr>
        <w:pStyle w:val="Prrafodelista"/>
        <w:tabs>
          <w:tab w:val="left" w:pos="567"/>
        </w:tabs>
        <w:ind w:left="825"/>
        <w:rPr>
          <w:b/>
          <w:bCs/>
          <w:lang w:val="es-ES"/>
        </w:rPr>
      </w:pPr>
    </w:p>
    <w:p w14:paraId="7CC88EF4" w14:textId="5EF510DA" w:rsidR="00C07CCE" w:rsidRPr="000B64C0" w:rsidRDefault="00B94FDB" w:rsidP="004F0770">
      <w:pPr>
        <w:widowControl/>
        <w:numPr>
          <w:ilvl w:val="0"/>
          <w:numId w:val="4"/>
        </w:numPr>
        <w:tabs>
          <w:tab w:val="left" w:pos="567"/>
          <w:tab w:val="num" w:pos="12305"/>
        </w:tabs>
        <w:adjustRightInd/>
        <w:ind w:left="0" w:firstLine="0"/>
        <w:textAlignment w:val="auto"/>
        <w:rPr>
          <w:lang w:val="es-ES"/>
        </w:rPr>
      </w:pPr>
      <w:r w:rsidRPr="000B64C0">
        <w:rPr>
          <w:lang w:val="es-ES"/>
        </w:rPr>
        <w:t xml:space="preserve">En este caso, la Corte advierte, tal como fue subrayado previamente, que ni el señor Patricio Fernando Roche Azaña ni sus familiares tuvieron la posibilidad de participar en el </w:t>
      </w:r>
      <w:r w:rsidRPr="000B64C0">
        <w:rPr>
          <w:lang w:val="es-ES" w:eastAsia="en-US"/>
        </w:rPr>
        <w:t>proceso</w:t>
      </w:r>
      <w:r w:rsidRPr="000B64C0">
        <w:rPr>
          <w:lang w:val="es-ES"/>
        </w:rPr>
        <w:t xml:space="preserve"> que llevó a la absolución de los acusados. En esta medida, la Corte considera que no es necesario analizar ni pronunciarse específicamente sobre la alegada falta de motivación del veredicto del jurado o sobre la alegada imposibilidad de recurrir el veredicto absolutorio por parte de las víctimas toda vez que, al no ser notificad</w:t>
      </w:r>
      <w:r w:rsidR="006243CC">
        <w:rPr>
          <w:lang w:val="es-ES"/>
        </w:rPr>
        <w:t>a</w:t>
      </w:r>
      <w:r w:rsidRPr="000B64C0">
        <w:rPr>
          <w:lang w:val="es-ES"/>
        </w:rPr>
        <w:t>s de la existencia misma del proceso</w:t>
      </w:r>
      <w:r w:rsidR="00FA3D21">
        <w:rPr>
          <w:lang w:val="es-ES"/>
        </w:rPr>
        <w:t xml:space="preserve"> </w:t>
      </w:r>
      <w:r w:rsidRPr="000B64C0">
        <w:rPr>
          <w:lang w:val="es-ES"/>
        </w:rPr>
        <w:t>se vieron impedidas de intervenir procesalmente en procura de la obtención de justicia. De esta forma, la falta de adopción de medidas que aseguraran el acceso a la justicia y la participación efectiva de personas migrantes y de sus familiares en la investigación y proceso penal por los hechos que atentaron contra la vida e integridad personal, constituye en sí misma una violación a los artículos 8.1 y 25 de la Convención, lo que</w:t>
      </w:r>
      <w:r w:rsidR="002D0314">
        <w:rPr>
          <w:lang w:val="es-ES"/>
        </w:rPr>
        <w:t>,</w:t>
      </w:r>
      <w:r w:rsidRPr="000B64C0">
        <w:rPr>
          <w:lang w:val="es-ES"/>
        </w:rPr>
        <w:t xml:space="preserve"> sumado a la situación de impunidad imperante durante estos 24 años, configura la responsabilidad internacional del Estado.</w:t>
      </w:r>
    </w:p>
    <w:p w14:paraId="7612B876" w14:textId="77777777" w:rsidR="00C07CCE" w:rsidRDefault="00C07CCE" w:rsidP="00C07CCE">
      <w:pPr>
        <w:widowControl/>
        <w:tabs>
          <w:tab w:val="left" w:pos="567"/>
        </w:tabs>
        <w:adjustRightInd/>
        <w:textAlignment w:val="auto"/>
        <w:rPr>
          <w:b/>
          <w:bCs/>
          <w:lang w:val="es-ES"/>
        </w:rPr>
      </w:pPr>
    </w:p>
    <w:p w14:paraId="32EECC40" w14:textId="46FFD14C" w:rsidR="00C07CCE" w:rsidRPr="000B64C0" w:rsidRDefault="00C07CCE" w:rsidP="004F0770">
      <w:pPr>
        <w:widowControl/>
        <w:numPr>
          <w:ilvl w:val="0"/>
          <w:numId w:val="4"/>
        </w:numPr>
        <w:tabs>
          <w:tab w:val="left" w:pos="567"/>
          <w:tab w:val="num" w:pos="12305"/>
        </w:tabs>
        <w:adjustRightInd/>
        <w:ind w:left="0" w:firstLine="0"/>
        <w:textAlignment w:val="auto"/>
        <w:rPr>
          <w:lang w:val="es-ES"/>
        </w:rPr>
      </w:pPr>
      <w:r w:rsidRPr="000B64C0">
        <w:rPr>
          <w:lang w:val="es-ES" w:eastAsia="en-US"/>
        </w:rPr>
        <w:t xml:space="preserve">En vista de lo anterior, la Corte considera que, en el presente caso, no es necesario analizar ni </w:t>
      </w:r>
      <w:r w:rsidR="002D0314">
        <w:rPr>
          <w:lang w:val="es-ES" w:eastAsia="en-US"/>
        </w:rPr>
        <w:t>pronunciarse</w:t>
      </w:r>
      <w:r w:rsidRPr="000B64C0">
        <w:rPr>
          <w:lang w:val="es-ES" w:eastAsia="en-US"/>
        </w:rPr>
        <w:t xml:space="preserve"> sobre estos extremos en particular.</w:t>
      </w:r>
    </w:p>
    <w:p w14:paraId="2A090DED" w14:textId="77777777" w:rsidR="00B94FDB" w:rsidRPr="00B94FDB" w:rsidRDefault="00B94FDB" w:rsidP="00B94FDB">
      <w:pPr>
        <w:tabs>
          <w:tab w:val="left" w:pos="567"/>
        </w:tabs>
        <w:rPr>
          <w:b/>
          <w:bCs/>
          <w:strike/>
          <w:lang w:val="es-ES"/>
        </w:rPr>
      </w:pPr>
    </w:p>
    <w:p w14:paraId="376A79A2" w14:textId="699E1042" w:rsidR="005E3680" w:rsidRPr="00F955EE" w:rsidRDefault="005E3680" w:rsidP="005E3680">
      <w:pPr>
        <w:pStyle w:val="Ttulo1"/>
        <w:rPr>
          <w:lang w:val="es-ES" w:eastAsia="en-US"/>
        </w:rPr>
      </w:pPr>
      <w:bookmarkStart w:id="56" w:name="_Toc495658690"/>
      <w:bookmarkStart w:id="57" w:name="_Toc514172658"/>
      <w:bookmarkStart w:id="58" w:name="_Toc24014570"/>
      <w:bookmarkStart w:id="59" w:name="_Toc43216164"/>
      <w:r w:rsidRPr="00F955EE">
        <w:rPr>
          <w:lang w:val="es-ES" w:eastAsia="en-US"/>
        </w:rPr>
        <w:t>VI-3</w:t>
      </w:r>
      <w:r w:rsidRPr="00F955EE">
        <w:rPr>
          <w:lang w:val="es-ES" w:eastAsia="en-US"/>
        </w:rPr>
        <w:br/>
        <w:t>DERECHO A LA INTEGRIDAD PERSONAL DE</w:t>
      </w:r>
      <w:r w:rsidR="00904CDF" w:rsidRPr="00F955EE">
        <w:rPr>
          <w:lang w:val="es-ES" w:eastAsia="en-US"/>
        </w:rPr>
        <w:br/>
      </w:r>
      <w:bookmarkEnd w:id="56"/>
      <w:bookmarkEnd w:id="57"/>
      <w:r w:rsidRPr="00F955EE">
        <w:rPr>
          <w:lang w:val="es-ES" w:eastAsia="en-US"/>
        </w:rPr>
        <w:t>LOS FAMILIARES DE LOS HERMANOS ROCHE AZAÑA</w:t>
      </w:r>
      <w:r w:rsidRPr="00F955EE">
        <w:rPr>
          <w:rStyle w:val="Refdenotaalpie"/>
          <w:lang w:val="es-ES" w:eastAsia="en-US"/>
        </w:rPr>
        <w:footnoteReference w:id="131"/>
      </w:r>
      <w:bookmarkEnd w:id="58"/>
      <w:bookmarkEnd w:id="59"/>
    </w:p>
    <w:p w14:paraId="0AC907AF" w14:textId="77777777" w:rsidR="005E3680" w:rsidRPr="00F955EE" w:rsidRDefault="005E3680" w:rsidP="005E3680">
      <w:pPr>
        <w:pStyle w:val="Ttulo2"/>
        <w:rPr>
          <w:lang w:val="es-ES"/>
        </w:rPr>
      </w:pPr>
      <w:bookmarkStart w:id="60" w:name="_Toc495658691"/>
      <w:bookmarkStart w:id="61" w:name="_Toc514172659"/>
      <w:bookmarkStart w:id="62" w:name="_Toc24014571"/>
      <w:bookmarkStart w:id="63" w:name="_Toc43216165"/>
      <w:r w:rsidRPr="00F955EE">
        <w:rPr>
          <w:lang w:val="es-ES"/>
        </w:rPr>
        <w:t>A.</w:t>
      </w:r>
      <w:r w:rsidRPr="00F955EE">
        <w:rPr>
          <w:lang w:val="es-ES"/>
        </w:rPr>
        <w:tab/>
        <w:t>Argumentos de las partes y de la Comisión</w:t>
      </w:r>
      <w:bookmarkEnd w:id="60"/>
      <w:bookmarkEnd w:id="61"/>
      <w:bookmarkEnd w:id="62"/>
      <w:bookmarkEnd w:id="63"/>
    </w:p>
    <w:p w14:paraId="24FAC999" w14:textId="6FE291A2" w:rsidR="00B52909" w:rsidRPr="00F955EE" w:rsidRDefault="00B52909" w:rsidP="004F0770">
      <w:pPr>
        <w:numPr>
          <w:ilvl w:val="0"/>
          <w:numId w:val="4"/>
        </w:numPr>
        <w:tabs>
          <w:tab w:val="left" w:pos="567"/>
          <w:tab w:val="num" w:pos="12305"/>
        </w:tabs>
        <w:ind w:left="0" w:firstLine="0"/>
        <w:rPr>
          <w:b/>
          <w:lang w:val="es-ES" w:eastAsia="es-ES_tradnl"/>
        </w:rPr>
      </w:pPr>
      <w:r w:rsidRPr="00F955EE">
        <w:rPr>
          <w:lang w:val="es-ES" w:eastAsia="es-ES_tradnl"/>
        </w:rPr>
        <w:t xml:space="preserve">La </w:t>
      </w:r>
      <w:r w:rsidRPr="00F955EE">
        <w:rPr>
          <w:b/>
          <w:lang w:val="es-ES" w:eastAsia="es-ES_tradnl"/>
        </w:rPr>
        <w:t>Comisión</w:t>
      </w:r>
      <w:r w:rsidRPr="00F955EE">
        <w:rPr>
          <w:lang w:val="es-ES" w:eastAsia="es-ES_tradnl"/>
        </w:rPr>
        <w:t xml:space="preserve"> indicó que el Estado violó el derecho a la integridad personal establecid</w:t>
      </w:r>
      <w:r w:rsidR="00B26D94">
        <w:rPr>
          <w:lang w:val="es-ES" w:eastAsia="es-ES_tradnl"/>
        </w:rPr>
        <w:t>o</w:t>
      </w:r>
      <w:r w:rsidRPr="00F955EE">
        <w:rPr>
          <w:lang w:val="es-ES" w:eastAsia="es-ES_tradnl"/>
        </w:rPr>
        <w:t xml:space="preserve"> en el artículo 5.1 de la Convención Americana</w:t>
      </w:r>
      <w:r w:rsidR="00B26D94">
        <w:rPr>
          <w:lang w:val="es-ES" w:eastAsia="es-ES_tradnl"/>
        </w:rPr>
        <w:t>,</w:t>
      </w:r>
      <w:r w:rsidRPr="00F955EE">
        <w:rPr>
          <w:lang w:val="es-ES" w:eastAsia="es-ES_tradnl"/>
        </w:rPr>
        <w:t xml:space="preserve"> en relación con las obligaciones establecidas en el artículo 1.1 del </w:t>
      </w:r>
      <w:r w:rsidRPr="00F955EE">
        <w:rPr>
          <w:lang w:val="es-ES"/>
        </w:rPr>
        <w:t>mismo</w:t>
      </w:r>
      <w:r w:rsidRPr="00F955EE">
        <w:rPr>
          <w:lang w:val="es-ES" w:eastAsia="es-ES_tradnl"/>
        </w:rPr>
        <w:t xml:space="preserve"> instrumento</w:t>
      </w:r>
      <w:r w:rsidR="00B26D94">
        <w:rPr>
          <w:lang w:val="es-ES" w:eastAsia="es-ES_tradnl"/>
        </w:rPr>
        <w:t>,</w:t>
      </w:r>
      <w:r w:rsidRPr="00F955EE">
        <w:rPr>
          <w:lang w:val="es-ES" w:eastAsia="es-ES_tradnl"/>
        </w:rPr>
        <w:t xml:space="preserve"> en perjuicio de la madre y </w:t>
      </w:r>
      <w:r w:rsidR="00B26D94">
        <w:rPr>
          <w:lang w:val="es-ES" w:eastAsia="es-ES_tradnl"/>
        </w:rPr>
        <w:t xml:space="preserve">del </w:t>
      </w:r>
      <w:r w:rsidRPr="00F955EE">
        <w:rPr>
          <w:lang w:val="es-ES" w:eastAsia="es-ES_tradnl"/>
        </w:rPr>
        <w:t xml:space="preserve">padre de los señores </w:t>
      </w:r>
      <w:r w:rsidR="00B26D94">
        <w:rPr>
          <w:lang w:val="es-ES" w:eastAsia="es-ES_tradnl"/>
        </w:rPr>
        <w:t xml:space="preserve">Roche </w:t>
      </w:r>
      <w:r w:rsidRPr="00F955EE">
        <w:rPr>
          <w:lang w:val="es-ES" w:eastAsia="es-ES_tradnl"/>
        </w:rPr>
        <w:t xml:space="preserve">Azaña. </w:t>
      </w:r>
    </w:p>
    <w:p w14:paraId="4414BDBC" w14:textId="77777777" w:rsidR="00B52909" w:rsidRPr="00F955EE" w:rsidRDefault="00B52909" w:rsidP="00CD42CE">
      <w:pPr>
        <w:widowControl/>
        <w:tabs>
          <w:tab w:val="left" w:pos="567"/>
        </w:tabs>
        <w:adjustRightInd/>
        <w:textAlignment w:val="auto"/>
        <w:rPr>
          <w:b/>
          <w:lang w:val="es-ES" w:eastAsia="es-ES_tradnl"/>
        </w:rPr>
      </w:pPr>
    </w:p>
    <w:p w14:paraId="0E21861D" w14:textId="15CB2F65" w:rsidR="005E3680" w:rsidRPr="00F955EE" w:rsidRDefault="00B52909" w:rsidP="004F0770">
      <w:pPr>
        <w:numPr>
          <w:ilvl w:val="0"/>
          <w:numId w:val="4"/>
        </w:numPr>
        <w:tabs>
          <w:tab w:val="left" w:pos="567"/>
          <w:tab w:val="num" w:pos="12305"/>
        </w:tabs>
        <w:ind w:left="0" w:firstLine="0"/>
        <w:rPr>
          <w:lang w:val="es-ES" w:eastAsia="es-ES_tradnl"/>
        </w:rPr>
      </w:pPr>
      <w:r w:rsidRPr="00F955EE">
        <w:rPr>
          <w:lang w:val="es-ES" w:eastAsia="es-ES_tradnl"/>
        </w:rPr>
        <w:t xml:space="preserve">Ni el </w:t>
      </w:r>
      <w:r w:rsidRPr="00F955EE">
        <w:rPr>
          <w:b/>
          <w:lang w:val="es-ES" w:eastAsia="es-ES_tradnl"/>
        </w:rPr>
        <w:t>representante</w:t>
      </w:r>
      <w:r w:rsidRPr="00F955EE">
        <w:rPr>
          <w:lang w:val="es-ES" w:eastAsia="es-ES_tradnl"/>
        </w:rPr>
        <w:t xml:space="preserve"> ni el </w:t>
      </w:r>
      <w:r w:rsidRPr="00F955EE">
        <w:rPr>
          <w:b/>
          <w:lang w:val="es-ES" w:eastAsia="es-ES_tradnl"/>
        </w:rPr>
        <w:t>Estado</w:t>
      </w:r>
      <w:r w:rsidRPr="00F955EE">
        <w:rPr>
          <w:lang w:val="es-ES" w:eastAsia="es-ES_tradnl"/>
        </w:rPr>
        <w:t xml:space="preserve"> </w:t>
      </w:r>
      <w:r w:rsidRPr="00F955EE">
        <w:rPr>
          <w:lang w:val="es-ES"/>
        </w:rPr>
        <w:t>realizaron</w:t>
      </w:r>
      <w:r w:rsidRPr="00F955EE">
        <w:rPr>
          <w:lang w:val="es-ES" w:eastAsia="es-ES_tradnl"/>
        </w:rPr>
        <w:t xml:space="preserve"> ninguna alegación al respecto. </w:t>
      </w:r>
    </w:p>
    <w:p w14:paraId="0880D181" w14:textId="61F9F600" w:rsidR="00EE77EB" w:rsidRPr="00F955EE" w:rsidRDefault="00EE77EB" w:rsidP="00EE77EB">
      <w:pPr>
        <w:pStyle w:val="Ttulo2"/>
        <w:rPr>
          <w:lang w:val="es-ES"/>
        </w:rPr>
      </w:pPr>
      <w:bookmarkStart w:id="64" w:name="_Toc24447098"/>
      <w:bookmarkStart w:id="65" w:name="_Toc43216166"/>
      <w:r w:rsidRPr="00F955EE">
        <w:rPr>
          <w:lang w:val="es-ES"/>
        </w:rPr>
        <w:t>B.</w:t>
      </w:r>
      <w:r w:rsidRPr="00F955EE">
        <w:rPr>
          <w:lang w:val="es-ES"/>
        </w:rPr>
        <w:tab/>
        <w:t>Consideraciones de la Corte</w:t>
      </w:r>
      <w:bookmarkEnd w:id="64"/>
      <w:bookmarkEnd w:id="65"/>
    </w:p>
    <w:p w14:paraId="433B867A" w14:textId="7383CB5C" w:rsidR="00650BF4" w:rsidRPr="00F955EE" w:rsidRDefault="00650BF4" w:rsidP="004F0770">
      <w:pPr>
        <w:numPr>
          <w:ilvl w:val="0"/>
          <w:numId w:val="4"/>
        </w:numPr>
        <w:tabs>
          <w:tab w:val="left" w:pos="567"/>
          <w:tab w:val="num" w:pos="12305"/>
        </w:tabs>
        <w:ind w:left="0" w:firstLine="0"/>
        <w:rPr>
          <w:rFonts w:eastAsiaTheme="minorHAnsi" w:cstheme="minorBidi"/>
          <w:lang w:val="es-ES" w:eastAsia="en-US"/>
        </w:rPr>
      </w:pPr>
      <w:bookmarkStart w:id="66" w:name="_Ref462932771"/>
      <w:r w:rsidRPr="00F955EE">
        <w:rPr>
          <w:rFonts w:eastAsiaTheme="minorHAnsi" w:cstheme="minorBidi"/>
          <w:lang w:val="es-ES" w:eastAsia="en-US"/>
        </w:rPr>
        <w:t xml:space="preserve">La Corte ha afirmado, en reiteradas oportunidades, que los familiares de las víctimas de </w:t>
      </w:r>
      <w:r w:rsidRPr="00F955EE">
        <w:rPr>
          <w:lang w:val="es-ES"/>
        </w:rPr>
        <w:t>violaciones</w:t>
      </w:r>
      <w:r w:rsidRPr="00F955EE">
        <w:rPr>
          <w:rFonts w:eastAsiaTheme="minorHAnsi" w:cstheme="minorBidi"/>
          <w:lang w:val="es-ES" w:eastAsia="en-US"/>
        </w:rPr>
        <w:t xml:space="preserve"> de los derechos humanos pueden ser, a su vez, víctimas</w:t>
      </w:r>
      <w:r w:rsidRPr="00F955EE">
        <w:rPr>
          <w:rFonts w:eastAsiaTheme="minorHAnsi" w:cstheme="minorBidi"/>
          <w:vertAlign w:val="superscript"/>
          <w:lang w:val="es-ES" w:eastAsia="en-US"/>
        </w:rPr>
        <w:footnoteReference w:id="132"/>
      </w:r>
      <w:r w:rsidRPr="00F955EE">
        <w:rPr>
          <w:rFonts w:eastAsiaTheme="minorHAnsi" w:cstheme="minorBidi"/>
          <w:lang w:val="es-ES" w:eastAsia="en-US"/>
        </w:rPr>
        <w:t xml:space="preserve">. Este Tribunal ha </w:t>
      </w:r>
      <w:r w:rsidRPr="00F955EE">
        <w:rPr>
          <w:lang w:val="es-ES"/>
        </w:rPr>
        <w:t>considerado</w:t>
      </w:r>
      <w:r w:rsidRPr="00F955EE">
        <w:rPr>
          <w:rFonts w:eastAsiaTheme="minorHAnsi" w:cstheme="minorBidi"/>
          <w:lang w:val="es-ES" w:eastAsia="en-US"/>
        </w:rPr>
        <w:t xml:space="preserve"> que se puede declarar violado el derecho a la integridad psíquica y moral de “familiares directos” u otras personas con vínculos estrechos con las víctimas con motivo del sufrimiento adicional que aqu</w:t>
      </w:r>
      <w:r w:rsidR="0099092B">
        <w:rPr>
          <w:rFonts w:eastAsiaTheme="minorHAnsi" w:cstheme="minorBidi"/>
          <w:lang w:val="es-ES" w:eastAsia="en-US"/>
        </w:rPr>
        <w:t>e</w:t>
      </w:r>
      <w:r w:rsidRPr="00F955EE">
        <w:rPr>
          <w:rFonts w:eastAsiaTheme="minorHAnsi" w:cstheme="minorBidi"/>
          <w:lang w:val="es-ES" w:eastAsia="en-US"/>
        </w:rPr>
        <w:t>llos han padecido como producto de las circunstancias particulares de las violaciones perpetradas contra sus seres queridos, y a causa de las posteriores actuaciones u omisiones de las autoridades estatales frente a estos hechos</w:t>
      </w:r>
      <w:r w:rsidRPr="00F955EE">
        <w:rPr>
          <w:rFonts w:eastAsiaTheme="minorHAnsi" w:cstheme="minorBidi"/>
          <w:vertAlign w:val="superscript"/>
          <w:lang w:val="es-ES" w:eastAsia="en-US"/>
        </w:rPr>
        <w:footnoteReference w:id="133"/>
      </w:r>
      <w:r w:rsidRPr="00F955EE">
        <w:rPr>
          <w:rFonts w:eastAsiaTheme="minorHAnsi" w:cstheme="minorBidi"/>
          <w:lang w:val="es-ES" w:eastAsia="en-US"/>
        </w:rPr>
        <w:t>, tomando en cuenta, entre otros elementos, las gestiones realizadas para obtener justicia y la existencia de un estrecho vínculo familiar</w:t>
      </w:r>
      <w:r w:rsidRPr="00F955EE">
        <w:rPr>
          <w:rFonts w:eastAsiaTheme="minorHAnsi" w:cstheme="minorBidi"/>
          <w:vertAlign w:val="superscript"/>
          <w:lang w:val="es-ES" w:eastAsia="en-US"/>
        </w:rPr>
        <w:footnoteReference w:id="134"/>
      </w:r>
      <w:r w:rsidRPr="00F955EE">
        <w:rPr>
          <w:rFonts w:eastAsiaTheme="minorHAnsi" w:cstheme="minorBidi"/>
          <w:lang w:val="es-ES" w:eastAsia="en-US"/>
        </w:rPr>
        <w:t>.</w:t>
      </w:r>
    </w:p>
    <w:bookmarkEnd w:id="66"/>
    <w:p w14:paraId="5DA2C5F8" w14:textId="77777777" w:rsidR="00650BF4" w:rsidRPr="00F955EE" w:rsidRDefault="00650BF4" w:rsidP="00650BF4">
      <w:pPr>
        <w:tabs>
          <w:tab w:val="left" w:pos="567"/>
        </w:tabs>
        <w:rPr>
          <w:rFonts w:eastAsia="MS Mincho"/>
          <w:spacing w:val="-2"/>
          <w:lang w:val="es-ES"/>
        </w:rPr>
      </w:pPr>
    </w:p>
    <w:p w14:paraId="0DB7EF9E" w14:textId="4D5F4B78" w:rsidR="00B52909" w:rsidRPr="00F955EE" w:rsidRDefault="00650BF4" w:rsidP="004F0770">
      <w:pPr>
        <w:numPr>
          <w:ilvl w:val="0"/>
          <w:numId w:val="4"/>
        </w:numPr>
        <w:tabs>
          <w:tab w:val="left" w:pos="567"/>
          <w:tab w:val="num" w:pos="12305"/>
        </w:tabs>
        <w:ind w:left="0" w:firstLine="0"/>
        <w:rPr>
          <w:lang w:val="es-ES"/>
        </w:rPr>
      </w:pPr>
      <w:r w:rsidRPr="00F955EE">
        <w:rPr>
          <w:rFonts w:eastAsia="MS Mincho"/>
          <w:spacing w:val="-2"/>
          <w:lang w:val="es-ES"/>
        </w:rPr>
        <w:t xml:space="preserve">La Corte </w:t>
      </w:r>
      <w:r w:rsidR="005C7800" w:rsidRPr="00F955EE">
        <w:rPr>
          <w:rFonts w:eastAsia="MS Mincho"/>
          <w:spacing w:val="-2"/>
          <w:lang w:val="es-ES"/>
        </w:rPr>
        <w:t>observa</w:t>
      </w:r>
      <w:r w:rsidRPr="00F955EE">
        <w:rPr>
          <w:rFonts w:eastAsia="MS Mincho"/>
          <w:spacing w:val="-2"/>
          <w:lang w:val="es-ES"/>
        </w:rPr>
        <w:t xml:space="preserve"> </w:t>
      </w:r>
      <w:r w:rsidR="009F6981" w:rsidRPr="00F955EE">
        <w:rPr>
          <w:rFonts w:eastAsia="MS Mincho"/>
          <w:spacing w:val="-2"/>
          <w:lang w:val="es-ES"/>
        </w:rPr>
        <w:t>que,</w:t>
      </w:r>
      <w:r w:rsidR="00096AF5" w:rsidRPr="00F955EE">
        <w:rPr>
          <w:rFonts w:eastAsia="MS Mincho"/>
          <w:spacing w:val="-2"/>
          <w:lang w:val="es-ES"/>
        </w:rPr>
        <w:t xml:space="preserve"> </w:t>
      </w:r>
      <w:r w:rsidR="004462FB" w:rsidRPr="00F955EE">
        <w:rPr>
          <w:rFonts w:eastAsia="MS Mincho"/>
          <w:spacing w:val="-2"/>
          <w:lang w:val="es-ES"/>
        </w:rPr>
        <w:t>en</w:t>
      </w:r>
      <w:r w:rsidR="00096AF5" w:rsidRPr="00F955EE">
        <w:rPr>
          <w:rFonts w:eastAsia="MS Mincho"/>
          <w:spacing w:val="-2"/>
          <w:lang w:val="es-ES"/>
        </w:rPr>
        <w:t xml:space="preserve"> la audiencia pública celebrada ante esta Corte, </w:t>
      </w:r>
      <w:r w:rsidR="008F36D6" w:rsidRPr="00F955EE">
        <w:rPr>
          <w:rFonts w:eastAsia="MS Mincho"/>
          <w:spacing w:val="-2"/>
          <w:lang w:val="es-ES"/>
        </w:rPr>
        <w:t>l</w:t>
      </w:r>
      <w:r w:rsidR="004462FB" w:rsidRPr="00F955EE">
        <w:rPr>
          <w:rFonts w:eastAsia="MS Mincho"/>
          <w:spacing w:val="-2"/>
          <w:lang w:val="es-ES"/>
        </w:rPr>
        <w:t>a señora</w:t>
      </w:r>
      <w:r w:rsidR="00096AF5" w:rsidRPr="00F955EE">
        <w:rPr>
          <w:rFonts w:eastAsia="MS Mincho"/>
          <w:spacing w:val="-2"/>
          <w:lang w:val="es-ES"/>
        </w:rPr>
        <w:t xml:space="preserve"> </w:t>
      </w:r>
      <w:r w:rsidR="00096AF5" w:rsidRPr="00F955EE">
        <w:rPr>
          <w:rFonts w:eastAsiaTheme="minorHAnsi"/>
          <w:szCs w:val="16"/>
          <w:lang w:val="es-ES" w:eastAsia="en-US"/>
        </w:rPr>
        <w:t>María Angelita Azaña Tenesaca</w:t>
      </w:r>
      <w:r w:rsidR="004462FB" w:rsidRPr="00F955EE">
        <w:rPr>
          <w:rFonts w:eastAsiaTheme="minorHAnsi"/>
          <w:szCs w:val="16"/>
          <w:lang w:val="es-ES" w:eastAsia="en-US"/>
        </w:rPr>
        <w:t xml:space="preserve"> declaró que la muerte de uno de sus hijos, su repatriación y posterior sepultura, así como las lesiones causadas a su otro hijo, le causaron un sufrimiento “grande” y “doloroso</w:t>
      </w:r>
      <w:r w:rsidR="00701004" w:rsidRPr="00F955EE">
        <w:rPr>
          <w:rFonts w:eastAsiaTheme="minorHAnsi"/>
          <w:szCs w:val="16"/>
          <w:lang w:val="es-ES" w:eastAsia="en-US"/>
        </w:rPr>
        <w:t>”</w:t>
      </w:r>
      <w:r w:rsidR="004462FB" w:rsidRPr="00F955EE">
        <w:rPr>
          <w:rFonts w:eastAsiaTheme="minorHAnsi"/>
          <w:szCs w:val="16"/>
          <w:lang w:val="es-ES" w:eastAsia="en-US"/>
        </w:rPr>
        <w:t xml:space="preserve">. Asimismo, alegó que </w:t>
      </w:r>
      <w:r w:rsidR="004462FB" w:rsidRPr="00F955EE">
        <w:rPr>
          <w:rFonts w:eastAsia="MS Mincho"/>
          <w:spacing w:val="-2"/>
          <w:lang w:val="es-ES"/>
        </w:rPr>
        <w:t>el señor</w:t>
      </w:r>
      <w:r w:rsidR="004462FB" w:rsidRPr="00F955EE">
        <w:rPr>
          <w:rFonts w:eastAsiaTheme="minorHAnsi"/>
          <w:szCs w:val="16"/>
          <w:lang w:val="es-ES" w:eastAsia="en-US"/>
        </w:rPr>
        <w:t xml:space="preserve"> José Fernando Roche Zhizhingo,</w:t>
      </w:r>
      <w:r w:rsidR="004462FB" w:rsidRPr="00F955EE">
        <w:rPr>
          <w:rFonts w:eastAsia="MS Mincho"/>
          <w:spacing w:val="-2"/>
          <w:lang w:val="es-ES"/>
        </w:rPr>
        <w:t xml:space="preserve"> </w:t>
      </w:r>
      <w:r w:rsidR="00096AF5" w:rsidRPr="00F955EE">
        <w:rPr>
          <w:rFonts w:eastAsia="MS Mincho"/>
          <w:spacing w:val="-2"/>
          <w:lang w:val="es-ES"/>
        </w:rPr>
        <w:t>padre de los hermanos Roche Azaña, “se enfermó de puro sufrimiento de [sus] hijos”</w:t>
      </w:r>
      <w:r w:rsidR="00096AF5" w:rsidRPr="00F955EE">
        <w:rPr>
          <w:rStyle w:val="Refdenotaalpie"/>
          <w:rFonts w:eastAsia="MS Mincho"/>
          <w:spacing w:val="-2"/>
          <w:lang w:val="es-ES"/>
        </w:rPr>
        <w:footnoteReference w:id="135"/>
      </w:r>
      <w:r w:rsidR="008F36D6" w:rsidRPr="00F955EE">
        <w:rPr>
          <w:rFonts w:eastAsia="MS Mincho"/>
          <w:spacing w:val="-2"/>
          <w:lang w:val="es-ES"/>
        </w:rPr>
        <w:t xml:space="preserve">, lo cual fue también </w:t>
      </w:r>
      <w:r w:rsidR="00473392">
        <w:rPr>
          <w:rFonts w:eastAsia="MS Mincho"/>
          <w:spacing w:val="-2"/>
          <w:lang w:val="es-ES"/>
        </w:rPr>
        <w:t>manifestado</w:t>
      </w:r>
      <w:r w:rsidR="00473392" w:rsidRPr="00F955EE">
        <w:rPr>
          <w:rFonts w:eastAsia="MS Mincho"/>
          <w:spacing w:val="-2"/>
          <w:lang w:val="es-ES"/>
        </w:rPr>
        <w:t xml:space="preserve"> </w:t>
      </w:r>
      <w:r w:rsidR="008F36D6" w:rsidRPr="00F955EE">
        <w:rPr>
          <w:rFonts w:eastAsia="MS Mincho"/>
          <w:spacing w:val="-2"/>
          <w:lang w:val="es-ES"/>
        </w:rPr>
        <w:t>por Patricio Fernando Roche Azaña en la citada audiencia pública</w:t>
      </w:r>
      <w:r w:rsidR="008F36D6" w:rsidRPr="00F955EE">
        <w:rPr>
          <w:rStyle w:val="Refdenotaalpie"/>
          <w:rFonts w:eastAsia="MS Mincho"/>
          <w:spacing w:val="-2"/>
          <w:lang w:val="es-ES"/>
        </w:rPr>
        <w:footnoteReference w:id="136"/>
      </w:r>
      <w:r w:rsidR="00096AF5" w:rsidRPr="00F955EE">
        <w:rPr>
          <w:rFonts w:eastAsia="MS Mincho"/>
          <w:spacing w:val="-2"/>
          <w:lang w:val="es-ES"/>
        </w:rPr>
        <w:t xml:space="preserve">. </w:t>
      </w:r>
      <w:r w:rsidR="00B52909" w:rsidRPr="00F955EE">
        <w:rPr>
          <w:lang w:val="es-ES" w:eastAsia="es-ES_tradnl"/>
        </w:rPr>
        <w:t xml:space="preserve">Por consiguiente, en </w:t>
      </w:r>
      <w:r w:rsidR="00B52909" w:rsidRPr="00F955EE">
        <w:rPr>
          <w:rFonts w:eastAsiaTheme="minorHAnsi" w:cstheme="minorBidi"/>
          <w:lang w:val="es-ES" w:eastAsia="en-US"/>
        </w:rPr>
        <w:t>vista</w:t>
      </w:r>
      <w:r w:rsidR="00B52909" w:rsidRPr="00F955EE">
        <w:rPr>
          <w:lang w:val="es-ES" w:eastAsia="es-ES_tradnl"/>
        </w:rPr>
        <w:t xml:space="preserve"> de la prueba e información aportada al expediente,</w:t>
      </w:r>
      <w:r w:rsidR="009531A1" w:rsidRPr="00F955EE">
        <w:rPr>
          <w:lang w:val="es-ES" w:eastAsia="es-ES_tradnl"/>
        </w:rPr>
        <w:t xml:space="preserve"> así como de las circunstancias particulares del presente caso,</w:t>
      </w:r>
      <w:r w:rsidR="00B52909" w:rsidRPr="00F955EE">
        <w:rPr>
          <w:lang w:val="es-ES" w:eastAsia="es-ES_tradnl"/>
        </w:rPr>
        <w:t xml:space="preserve"> este Tribunal </w:t>
      </w:r>
      <w:r w:rsidR="00B52909" w:rsidRPr="00F955EE">
        <w:rPr>
          <w:lang w:val="es-ES"/>
        </w:rPr>
        <w:t>considera</w:t>
      </w:r>
      <w:r w:rsidR="00B52909" w:rsidRPr="00F955EE">
        <w:rPr>
          <w:lang w:val="es-ES" w:eastAsia="es-ES_tradnl"/>
        </w:rPr>
        <w:t xml:space="preserve"> que, como consecuencia directa </w:t>
      </w:r>
      <w:r w:rsidR="00B52909" w:rsidRPr="00F955EE">
        <w:rPr>
          <w:lang w:val="es-ES"/>
        </w:rPr>
        <w:t>de</w:t>
      </w:r>
      <w:r w:rsidR="00B52909" w:rsidRPr="00F955EE">
        <w:rPr>
          <w:lang w:val="es-ES" w:eastAsia="es-ES_tradnl"/>
        </w:rPr>
        <w:t xml:space="preserve"> (i) la muerte del señor Pedro Bacilio Roche Azaña, junto con el posterior traslado de su cadáver a Ecuador, y (ii) las heridas causada a Patricio</w:t>
      </w:r>
      <w:r w:rsidR="0079413A">
        <w:rPr>
          <w:lang w:val="es-ES" w:eastAsia="es-ES_tradnl"/>
        </w:rPr>
        <w:t xml:space="preserve"> Fernando</w:t>
      </w:r>
      <w:r w:rsidR="00B52909" w:rsidRPr="00F955EE">
        <w:rPr>
          <w:lang w:val="es-ES" w:eastAsia="es-ES_tradnl"/>
        </w:rPr>
        <w:t xml:space="preserve"> Roche Azaña, junto con las secuelas que le causaron de por vida, los padres de los </w:t>
      </w:r>
      <w:r w:rsidR="00240576">
        <w:rPr>
          <w:lang w:val="es-ES" w:eastAsia="es-ES_tradnl"/>
        </w:rPr>
        <w:t>hermanos</w:t>
      </w:r>
      <w:r w:rsidR="00B52909" w:rsidRPr="00F955EE">
        <w:rPr>
          <w:lang w:val="es-ES" w:eastAsia="es-ES_tradnl"/>
        </w:rPr>
        <w:t xml:space="preserve"> Roche Azaña </w:t>
      </w:r>
      <w:r w:rsidR="00B52909" w:rsidRPr="00F955EE">
        <w:rPr>
          <w:lang w:val="es-ES"/>
        </w:rPr>
        <w:t xml:space="preserve">padecieron un profundo sufrimiento y angustia en detrimento de su integridad psíquica y moral. </w:t>
      </w:r>
    </w:p>
    <w:p w14:paraId="24A91E52" w14:textId="77777777" w:rsidR="00B52909" w:rsidRPr="00F955EE" w:rsidRDefault="00B52909" w:rsidP="00B52909">
      <w:pPr>
        <w:tabs>
          <w:tab w:val="left" w:pos="567"/>
        </w:tabs>
        <w:rPr>
          <w:b/>
          <w:lang w:val="es-ES"/>
        </w:rPr>
      </w:pPr>
    </w:p>
    <w:p w14:paraId="32D5DA5F" w14:textId="385AF325" w:rsidR="00EE77EB" w:rsidRPr="00F955EE" w:rsidRDefault="00B52909" w:rsidP="004F0770">
      <w:pPr>
        <w:numPr>
          <w:ilvl w:val="0"/>
          <w:numId w:val="4"/>
        </w:numPr>
        <w:tabs>
          <w:tab w:val="left" w:pos="567"/>
          <w:tab w:val="num" w:pos="12305"/>
        </w:tabs>
        <w:ind w:left="0" w:firstLine="0"/>
        <w:rPr>
          <w:rFonts w:cs="Arial"/>
          <w:lang w:val="es-ES"/>
        </w:rPr>
      </w:pPr>
      <w:r w:rsidRPr="00F955EE">
        <w:rPr>
          <w:lang w:val="es-ES"/>
        </w:rPr>
        <w:t xml:space="preserve">A la vista de lo anterior, </w:t>
      </w:r>
      <w:r w:rsidR="00650BF4" w:rsidRPr="00F955EE">
        <w:rPr>
          <w:lang w:val="es-ES"/>
        </w:rPr>
        <w:t>la Corte concluye que el Estado violó el derecho a la integridad personal establecido en el artículo 5.1 de la Convención Americana, en relación con el artículo 1.1 del mismo instrumento</w:t>
      </w:r>
      <w:r w:rsidR="00473392">
        <w:rPr>
          <w:lang w:val="es-ES"/>
        </w:rPr>
        <w:t>,</w:t>
      </w:r>
      <w:r w:rsidR="008F36D6" w:rsidRPr="00F955EE">
        <w:rPr>
          <w:lang w:val="es-ES"/>
        </w:rPr>
        <w:t xml:space="preserve"> en perjuicio de </w:t>
      </w:r>
      <w:r w:rsidR="008F36D6" w:rsidRPr="00F955EE">
        <w:rPr>
          <w:rFonts w:eastAsiaTheme="minorHAnsi"/>
          <w:szCs w:val="16"/>
          <w:lang w:val="es-ES" w:eastAsia="en-US"/>
        </w:rPr>
        <w:t>María Angelita Azaña Tenesaca y de José Fernando Roche Zhizhingo</w:t>
      </w:r>
      <w:r w:rsidR="00650BF4" w:rsidRPr="00F955EE">
        <w:rPr>
          <w:lang w:val="es-ES"/>
        </w:rPr>
        <w:t>.</w:t>
      </w:r>
    </w:p>
    <w:p w14:paraId="1D214CB4" w14:textId="4FF4113F" w:rsidR="00935AEC" w:rsidRPr="00F955EE" w:rsidRDefault="00883164" w:rsidP="00096AF5">
      <w:pPr>
        <w:pStyle w:val="Ttulo1"/>
        <w:rPr>
          <w:lang w:val="es-ES"/>
        </w:rPr>
      </w:pPr>
      <w:bookmarkStart w:id="67" w:name="_Toc514172661"/>
      <w:bookmarkStart w:id="68" w:name="_Toc375517149"/>
      <w:bookmarkStart w:id="69" w:name="_Toc449460763"/>
      <w:bookmarkStart w:id="70" w:name="_Toc459158147"/>
      <w:bookmarkStart w:id="71" w:name="_Toc495658693"/>
      <w:bookmarkStart w:id="72" w:name="_Toc15933770"/>
      <w:bookmarkStart w:id="73" w:name="_Toc16270609"/>
      <w:bookmarkStart w:id="74" w:name="_Toc24447103"/>
      <w:bookmarkStart w:id="75" w:name="_Toc43216167"/>
      <w:r w:rsidRPr="00F955EE">
        <w:rPr>
          <w:lang w:val="es-ES"/>
        </w:rPr>
        <w:t>VI</w:t>
      </w:r>
      <w:r w:rsidR="007C3BB6" w:rsidRPr="00F955EE">
        <w:rPr>
          <w:lang w:val="es-ES"/>
        </w:rPr>
        <w:t>I</w:t>
      </w:r>
      <w:r w:rsidR="005B0504" w:rsidRPr="00F955EE">
        <w:rPr>
          <w:lang w:val="es-ES"/>
        </w:rPr>
        <w:br/>
        <w:t>REPARACIONES</w:t>
      </w:r>
      <w:bookmarkStart w:id="76" w:name="_Toc495658707"/>
      <w:bookmarkStart w:id="77" w:name="_Toc470180115"/>
      <w:bookmarkStart w:id="78" w:name="_Toc459158160"/>
      <w:bookmarkStart w:id="79" w:name="_Toc375517156"/>
      <w:bookmarkStart w:id="80" w:name="_Toc514172675"/>
      <w:bookmarkStart w:id="81" w:name="_Toc15933784"/>
      <w:bookmarkStart w:id="82" w:name="_Toc16270623"/>
      <w:bookmarkEnd w:id="67"/>
      <w:bookmarkEnd w:id="68"/>
      <w:bookmarkEnd w:id="69"/>
      <w:bookmarkEnd w:id="70"/>
      <w:bookmarkEnd w:id="71"/>
      <w:bookmarkEnd w:id="72"/>
      <w:bookmarkEnd w:id="73"/>
      <w:bookmarkEnd w:id="74"/>
      <w:bookmarkEnd w:id="75"/>
    </w:p>
    <w:p w14:paraId="73D320BD" w14:textId="1434F1FF" w:rsidR="005B0504" w:rsidRPr="00F955EE" w:rsidRDefault="005B0504" w:rsidP="004F0770">
      <w:pPr>
        <w:numPr>
          <w:ilvl w:val="0"/>
          <w:numId w:val="4"/>
        </w:numPr>
        <w:tabs>
          <w:tab w:val="left" w:pos="567"/>
          <w:tab w:val="num" w:pos="1569"/>
          <w:tab w:val="num" w:pos="12305"/>
        </w:tabs>
        <w:ind w:left="0" w:firstLine="0"/>
        <w:rPr>
          <w:lang w:val="es-ES" w:bidi="en-US"/>
        </w:rPr>
      </w:pPr>
      <w:r w:rsidRPr="00F955EE">
        <w:rPr>
          <w:lang w:val="es-ES" w:eastAsia="es-ES" w:bidi="en-US"/>
        </w:rPr>
        <w:t>Sobre</w:t>
      </w:r>
      <w:r w:rsidRPr="00F955EE">
        <w:rPr>
          <w:lang w:val="es-ES" w:bidi="en-US"/>
        </w:rPr>
        <w:t xml:space="preserve"> </w:t>
      </w:r>
      <w:r w:rsidRPr="00F955EE">
        <w:rPr>
          <w:bCs/>
          <w:lang w:val="es-ES" w:bidi="en-US"/>
        </w:rPr>
        <w:t>la</w:t>
      </w:r>
      <w:r w:rsidRPr="00F955EE">
        <w:rPr>
          <w:lang w:val="es-ES" w:bidi="en-US"/>
        </w:rPr>
        <w:t xml:space="preserve"> base de lo dispuesto en el artículo 63.1 de la Convención American</w:t>
      </w:r>
      <w:r w:rsidR="000B64C0">
        <w:rPr>
          <w:lang w:val="es-ES" w:bidi="en-US"/>
        </w:rPr>
        <w:t>a</w:t>
      </w:r>
      <w:r w:rsidRPr="00F955EE">
        <w:rPr>
          <w:lang w:val="es-ES" w:bidi="en-US"/>
        </w:rPr>
        <w:t xml:space="preserve">, la Corte ha indicado que toda violación de una obligación internacional que haya producido daño comporta el deber de repararlo </w:t>
      </w:r>
      <w:r w:rsidRPr="00F955EE">
        <w:rPr>
          <w:lang w:val="es-ES"/>
        </w:rPr>
        <w:t>adecuadamente</w:t>
      </w:r>
      <w:r w:rsidRPr="00F955EE">
        <w:rPr>
          <w:lang w:val="es-ES" w:bidi="en-US"/>
        </w:rPr>
        <w:t xml:space="preserve"> y que esa disposición recoge una norma consuetudinaria que constituye uno </w:t>
      </w:r>
      <w:r w:rsidRPr="00F955EE">
        <w:rPr>
          <w:lang w:val="es-ES"/>
        </w:rPr>
        <w:t>de</w:t>
      </w:r>
      <w:r w:rsidRPr="00F955EE">
        <w:rPr>
          <w:lang w:val="es-ES" w:bidi="en-US"/>
        </w:rPr>
        <w:t xml:space="preserve"> los principios fundamentales del Derecho Internacional contemporáneo sobre responsabilidad de un Estado</w:t>
      </w:r>
      <w:r w:rsidRPr="00F955EE">
        <w:rPr>
          <w:vertAlign w:val="superscript"/>
          <w:lang w:val="es-ES" w:bidi="en-US"/>
        </w:rPr>
        <w:footnoteReference w:id="137"/>
      </w:r>
      <w:r w:rsidRPr="00F955EE">
        <w:rPr>
          <w:lang w:val="es-ES" w:bidi="en-US"/>
        </w:rPr>
        <w:t>.</w:t>
      </w:r>
    </w:p>
    <w:p w14:paraId="059BDE09" w14:textId="77777777" w:rsidR="00B21AF4" w:rsidRPr="00F955EE" w:rsidRDefault="00B21AF4" w:rsidP="00E06F63">
      <w:pPr>
        <w:pStyle w:val="Normal1"/>
        <w:widowControl/>
        <w:contextualSpacing/>
        <w:jc w:val="both"/>
        <w:rPr>
          <w:rFonts w:ascii="Verdana" w:hAnsi="Verdana"/>
          <w:sz w:val="20"/>
          <w:szCs w:val="20"/>
          <w:lang w:val="es-ES" w:bidi="en-US"/>
        </w:rPr>
      </w:pPr>
    </w:p>
    <w:p w14:paraId="47A1BDFC" w14:textId="77777777" w:rsidR="005B0504" w:rsidRPr="00F955EE" w:rsidRDefault="005B0504" w:rsidP="004F0770">
      <w:pPr>
        <w:numPr>
          <w:ilvl w:val="0"/>
          <w:numId w:val="4"/>
        </w:numPr>
        <w:tabs>
          <w:tab w:val="left" w:pos="567"/>
          <w:tab w:val="num" w:pos="1569"/>
          <w:tab w:val="num" w:pos="12305"/>
        </w:tabs>
        <w:ind w:left="0" w:firstLine="0"/>
        <w:rPr>
          <w:lang w:val="es-ES" w:bidi="en-US"/>
        </w:rPr>
      </w:pPr>
      <w:r w:rsidRPr="00F955EE">
        <w:rPr>
          <w:bCs/>
          <w:lang w:val="es-ES" w:bidi="en-US"/>
        </w:rPr>
        <w:t xml:space="preserve">La </w:t>
      </w:r>
      <w:r w:rsidRPr="00F955EE">
        <w:rPr>
          <w:lang w:val="es-ES" w:eastAsia="es-ES" w:bidi="en-US"/>
        </w:rPr>
        <w:t>reparación</w:t>
      </w:r>
      <w:r w:rsidRPr="00F955EE">
        <w:rPr>
          <w:bCs/>
          <w:lang w:val="es-ES" w:bidi="en-US"/>
        </w:rPr>
        <w:t xml:space="preserve"> del daño ocasionado por la infracción de una obligación internacional requiere, </w:t>
      </w:r>
      <w:r w:rsidRPr="00F955EE">
        <w:rPr>
          <w:lang w:val="es-ES" w:eastAsia="es-ES_tradnl"/>
        </w:rPr>
        <w:t>siempre</w:t>
      </w:r>
      <w:r w:rsidRPr="00F955EE">
        <w:rPr>
          <w:bCs/>
          <w:lang w:val="es-ES" w:bidi="en-US"/>
        </w:rPr>
        <w:t xml:space="preserve"> que sea posible, la plena restitución (</w:t>
      </w:r>
      <w:r w:rsidRPr="00F955EE">
        <w:rPr>
          <w:bCs/>
          <w:i/>
          <w:lang w:val="es-ES" w:bidi="en-US"/>
        </w:rPr>
        <w:t>restitutio in integrum</w:t>
      </w:r>
      <w:r w:rsidRPr="00F955EE">
        <w:rPr>
          <w:bCs/>
          <w:lang w:val="es-ES" w:bidi="en-US"/>
        </w:rPr>
        <w:t xml:space="preserve">), que consiste en el restablecimiento de la </w:t>
      </w:r>
      <w:r w:rsidRPr="00F955EE">
        <w:rPr>
          <w:lang w:val="es-ES"/>
        </w:rPr>
        <w:t>situación</w:t>
      </w:r>
      <w:r w:rsidRPr="00F955EE">
        <w:rPr>
          <w:bCs/>
          <w:lang w:val="es-ES" w:bidi="en-US"/>
        </w:rPr>
        <w:t xml:space="preserve"> anterior. De no ser esto factible, como ocurre en la mayoría de los casos de violaciones a derechos humanos, el Tribunal determinará medidas para garantizar los derechos conculcados y reparar las consecuencias que las infracciones produjeron</w:t>
      </w:r>
      <w:r w:rsidRPr="00F955EE">
        <w:rPr>
          <w:vertAlign w:val="superscript"/>
          <w:lang w:val="es-ES" w:bidi="en-US"/>
        </w:rPr>
        <w:footnoteReference w:id="138"/>
      </w:r>
      <w:r w:rsidRPr="00F955EE">
        <w:rPr>
          <w:bCs/>
          <w:lang w:val="es-ES" w:bidi="en-US"/>
        </w:rPr>
        <w:t xml:space="preserve">. Por tanto, </w:t>
      </w:r>
      <w:r w:rsidRPr="00F955EE">
        <w:rPr>
          <w:lang w:val="es-ES" w:bidi="en-US"/>
        </w:rPr>
        <w:t xml:space="preserve">la Corte ha </w:t>
      </w:r>
      <w:r w:rsidRPr="00F955EE">
        <w:rPr>
          <w:lang w:val="es-ES"/>
        </w:rPr>
        <w:t>considerado</w:t>
      </w:r>
      <w:r w:rsidRPr="00F955EE">
        <w:rPr>
          <w:lang w:val="es-ES" w:bidi="en-US"/>
        </w:rPr>
        <w:t xml:space="preserve">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F955EE">
        <w:rPr>
          <w:vertAlign w:val="superscript"/>
          <w:lang w:val="es-ES" w:bidi="en-US"/>
        </w:rPr>
        <w:footnoteReference w:id="139"/>
      </w:r>
      <w:r w:rsidRPr="00F955EE">
        <w:rPr>
          <w:lang w:val="es-ES" w:bidi="en-US"/>
        </w:rPr>
        <w:t>.</w:t>
      </w:r>
    </w:p>
    <w:p w14:paraId="230247A9" w14:textId="77777777" w:rsidR="00C12182" w:rsidRPr="00F955EE" w:rsidRDefault="00C12182" w:rsidP="00E06F63">
      <w:pPr>
        <w:pStyle w:val="Normal1"/>
        <w:widowControl/>
        <w:contextualSpacing/>
        <w:jc w:val="both"/>
        <w:rPr>
          <w:rFonts w:ascii="Verdana" w:hAnsi="Verdana"/>
          <w:sz w:val="20"/>
          <w:szCs w:val="20"/>
          <w:lang w:val="es-ES" w:bidi="en-US"/>
        </w:rPr>
      </w:pPr>
    </w:p>
    <w:p w14:paraId="2983F371" w14:textId="77777777" w:rsidR="005B0504" w:rsidRPr="00F955EE" w:rsidRDefault="005B0504" w:rsidP="004F0770">
      <w:pPr>
        <w:numPr>
          <w:ilvl w:val="0"/>
          <w:numId w:val="4"/>
        </w:numPr>
        <w:tabs>
          <w:tab w:val="left" w:pos="567"/>
          <w:tab w:val="num" w:pos="1569"/>
          <w:tab w:val="num" w:pos="12305"/>
        </w:tabs>
        <w:ind w:left="0" w:firstLine="0"/>
        <w:rPr>
          <w:lang w:val="es-ES" w:bidi="en-US"/>
        </w:rPr>
      </w:pPr>
      <w:r w:rsidRPr="00F955EE">
        <w:rPr>
          <w:lang w:val="es-ES" w:bidi="en-US"/>
        </w:rPr>
        <w:t xml:space="preserve">La </w:t>
      </w:r>
      <w:r w:rsidRPr="00F955EE">
        <w:rPr>
          <w:bCs/>
          <w:lang w:val="es-ES" w:bidi="en-US"/>
        </w:rPr>
        <w:t>Corte</w:t>
      </w:r>
      <w:r w:rsidRPr="00F955EE">
        <w:rPr>
          <w:lang w:val="es-ES" w:bidi="en-US"/>
        </w:rPr>
        <w:t xml:space="preserve"> ha establecido que las reparaciones deben tener un nexo causal con los hechos del caso, las violaciones declaradas, los daños acreditados, así como las medidas solicitadas para reparar los daños respectivos. </w:t>
      </w:r>
      <w:r w:rsidRPr="00F955EE">
        <w:rPr>
          <w:lang w:val="es-ES"/>
        </w:rPr>
        <w:t>Por</w:t>
      </w:r>
      <w:r w:rsidRPr="00F955EE">
        <w:rPr>
          <w:lang w:val="es-ES" w:bidi="en-US"/>
        </w:rPr>
        <w:t xml:space="preserve"> lo tanto, la Corte deberá observar dicha concurrencia para pronunciarse debidamente y conforme a derecho</w:t>
      </w:r>
      <w:r w:rsidRPr="00F955EE">
        <w:rPr>
          <w:vertAlign w:val="superscript"/>
          <w:lang w:val="es-ES" w:bidi="en-US"/>
        </w:rPr>
        <w:footnoteReference w:id="140"/>
      </w:r>
      <w:r w:rsidRPr="00F955EE">
        <w:rPr>
          <w:lang w:val="es-ES" w:bidi="en-US"/>
        </w:rPr>
        <w:t>.</w:t>
      </w:r>
    </w:p>
    <w:p w14:paraId="461EEFBF" w14:textId="77777777" w:rsidR="00C12182" w:rsidRPr="00F955EE" w:rsidRDefault="00C12182" w:rsidP="00E06F63">
      <w:pPr>
        <w:pStyle w:val="Normal1"/>
        <w:widowControl/>
        <w:contextualSpacing/>
        <w:jc w:val="both"/>
        <w:rPr>
          <w:rFonts w:ascii="Verdana" w:hAnsi="Verdana"/>
          <w:sz w:val="20"/>
          <w:szCs w:val="20"/>
          <w:lang w:val="es-ES" w:bidi="en-US"/>
        </w:rPr>
      </w:pPr>
    </w:p>
    <w:p w14:paraId="07442040" w14:textId="5FE30C4A" w:rsidR="002D77E4" w:rsidRPr="00F955EE" w:rsidRDefault="005B0504" w:rsidP="004F0770">
      <w:pPr>
        <w:numPr>
          <w:ilvl w:val="0"/>
          <w:numId w:val="4"/>
        </w:numPr>
        <w:tabs>
          <w:tab w:val="left" w:pos="567"/>
          <w:tab w:val="num" w:pos="1569"/>
          <w:tab w:val="num" w:pos="12305"/>
        </w:tabs>
        <w:ind w:left="0" w:firstLine="0"/>
        <w:rPr>
          <w:lang w:val="es-ES" w:bidi="en-US"/>
        </w:rPr>
      </w:pPr>
      <w:r w:rsidRPr="00F955EE">
        <w:rPr>
          <w:lang w:val="es-ES"/>
        </w:rPr>
        <w:t xml:space="preserve">Tomando en cuenta las violaciones a la Convención Americana declaradas en los capítulos </w:t>
      </w:r>
      <w:r w:rsidRPr="00F955EE">
        <w:rPr>
          <w:lang w:val="es-ES" w:eastAsia="es-ES_tradnl"/>
        </w:rPr>
        <w:t>anteriores</w:t>
      </w:r>
      <w:r w:rsidRPr="00F955EE">
        <w:rPr>
          <w:lang w:val="es-ES"/>
        </w:rPr>
        <w:t>, a la luz de los criterios fijados en la jurisprudencia del Tribunal en relación con la naturaleza y alcances de la obligación de reparar</w:t>
      </w:r>
      <w:r w:rsidRPr="00F955EE">
        <w:rPr>
          <w:rFonts w:eastAsia="Calibri"/>
          <w:vertAlign w:val="superscript"/>
          <w:lang w:val="es-ES"/>
        </w:rPr>
        <w:footnoteReference w:id="141"/>
      </w:r>
      <w:r w:rsidRPr="00F955EE">
        <w:rPr>
          <w:lang w:val="es-ES"/>
        </w:rPr>
        <w:t xml:space="preserve">, la Corte analizará las pretensiones presentadas por la Comisión y </w:t>
      </w:r>
      <w:r w:rsidR="00D96F43" w:rsidRPr="00F955EE">
        <w:rPr>
          <w:lang w:val="es-ES"/>
        </w:rPr>
        <w:t>el representante</w:t>
      </w:r>
      <w:r w:rsidRPr="00F955EE">
        <w:rPr>
          <w:lang w:val="es-ES"/>
        </w:rPr>
        <w:t>, así como los argumentos del Estado al respecto, con el objeto de disponer a continuación las medidas tendientes a reparar dichas violaciones.</w:t>
      </w:r>
    </w:p>
    <w:p w14:paraId="71C212FD" w14:textId="77777777" w:rsidR="002D77E4" w:rsidRPr="00F955EE" w:rsidRDefault="002D77E4" w:rsidP="002D77E4">
      <w:pPr>
        <w:pStyle w:val="Ttulo2"/>
        <w:rPr>
          <w:lang w:val="es-ES"/>
        </w:rPr>
      </w:pPr>
      <w:bookmarkStart w:id="83" w:name="_Toc33017896"/>
      <w:bookmarkStart w:id="84" w:name="_Toc43216168"/>
      <w:r w:rsidRPr="00F955EE">
        <w:rPr>
          <w:lang w:val="es-ES"/>
        </w:rPr>
        <w:t>A. Parte lesionada</w:t>
      </w:r>
      <w:bookmarkEnd w:id="83"/>
      <w:bookmarkEnd w:id="84"/>
    </w:p>
    <w:p w14:paraId="3D5F5DEF" w14:textId="5BDF22E4" w:rsidR="002D77E4" w:rsidRPr="00F955EE" w:rsidRDefault="002D77E4" w:rsidP="004F0770">
      <w:pPr>
        <w:numPr>
          <w:ilvl w:val="0"/>
          <w:numId w:val="4"/>
        </w:numPr>
        <w:tabs>
          <w:tab w:val="left" w:pos="567"/>
          <w:tab w:val="num" w:pos="5057"/>
        </w:tabs>
        <w:ind w:left="0" w:firstLine="0"/>
        <w:textAlignment w:val="auto"/>
        <w:rPr>
          <w:lang w:val="es-ES" w:eastAsia="es-ES_tradnl"/>
        </w:rPr>
      </w:pPr>
      <w:r w:rsidRPr="00F955EE">
        <w:rPr>
          <w:lang w:val="es-ES" w:eastAsia="es-ES_tradnl"/>
        </w:rPr>
        <w:t xml:space="preserve">Este Tribunal considera parte lesionada, en los términos del artículo 63.1 de la </w:t>
      </w:r>
      <w:r w:rsidRPr="00F955EE">
        <w:rPr>
          <w:lang w:val="es-ES"/>
        </w:rPr>
        <w:t>Convención</w:t>
      </w:r>
      <w:r w:rsidRPr="00F955EE">
        <w:rPr>
          <w:lang w:val="es-ES" w:eastAsia="es-ES_tradnl"/>
        </w:rPr>
        <w:t xml:space="preserve">, a </w:t>
      </w:r>
      <w:r w:rsidRPr="00F955EE">
        <w:rPr>
          <w:lang w:val="es-ES" w:eastAsia="es-ES" w:bidi="en-US"/>
        </w:rPr>
        <w:t>quienes</w:t>
      </w:r>
      <w:r w:rsidRPr="00F955EE">
        <w:rPr>
          <w:lang w:val="es-ES" w:eastAsia="es-ES_tradnl"/>
        </w:rPr>
        <w:t xml:space="preserve"> han sido </w:t>
      </w:r>
      <w:r w:rsidRPr="00F955EE">
        <w:rPr>
          <w:lang w:val="es-ES" w:eastAsia="es-ES" w:bidi="en-US"/>
        </w:rPr>
        <w:t>declaradas</w:t>
      </w:r>
      <w:r w:rsidRPr="00F955EE">
        <w:rPr>
          <w:lang w:val="es-ES" w:eastAsia="es-ES_tradnl"/>
        </w:rPr>
        <w:t xml:space="preserve"> víctimas de la violación de algún derecho reconocido en la misma. Por lo tanto, esta Corte considera como “parte lesionada” a los señores </w:t>
      </w:r>
      <w:r w:rsidR="00D46450" w:rsidRPr="00F955EE">
        <w:rPr>
          <w:rFonts w:eastAsiaTheme="minorHAnsi"/>
          <w:szCs w:val="16"/>
          <w:lang w:val="es-ES" w:eastAsia="en-US"/>
        </w:rPr>
        <w:t xml:space="preserve">Pedro Bacilio Roche Azaña </w:t>
      </w:r>
      <w:r w:rsidRPr="00F955EE">
        <w:rPr>
          <w:rFonts w:eastAsiaTheme="minorHAnsi"/>
          <w:szCs w:val="16"/>
          <w:lang w:val="es-ES" w:eastAsia="en-US"/>
        </w:rPr>
        <w:t>y</w:t>
      </w:r>
      <w:r w:rsidRPr="00F955EE">
        <w:rPr>
          <w:lang w:val="es-ES" w:eastAsia="es-ES_tradnl"/>
        </w:rPr>
        <w:t xml:space="preserve"> </w:t>
      </w:r>
      <w:r w:rsidR="00D46450" w:rsidRPr="00F955EE">
        <w:rPr>
          <w:rFonts w:eastAsiaTheme="minorHAnsi"/>
          <w:szCs w:val="16"/>
          <w:lang w:val="es-ES" w:eastAsia="en-US"/>
        </w:rPr>
        <w:t>Patricio Fernando Roche Azaña,</w:t>
      </w:r>
      <w:r w:rsidR="00D46450" w:rsidRPr="00F955EE">
        <w:rPr>
          <w:lang w:val="es-ES" w:eastAsia="es-ES_tradnl"/>
        </w:rPr>
        <w:t xml:space="preserve"> </w:t>
      </w:r>
      <w:r w:rsidRPr="00F955EE">
        <w:rPr>
          <w:lang w:val="es-ES" w:eastAsia="es-ES_tradnl"/>
        </w:rPr>
        <w:t>así como a su madre</w:t>
      </w:r>
      <w:r w:rsidRPr="00F955EE">
        <w:rPr>
          <w:rFonts w:eastAsiaTheme="minorHAnsi"/>
          <w:sz w:val="16"/>
          <w:szCs w:val="16"/>
          <w:lang w:val="es-ES" w:eastAsia="en-US"/>
        </w:rPr>
        <w:t xml:space="preserve"> </w:t>
      </w:r>
      <w:r w:rsidRPr="00F955EE">
        <w:rPr>
          <w:rFonts w:eastAsiaTheme="minorHAnsi"/>
          <w:szCs w:val="16"/>
          <w:lang w:val="es-ES" w:eastAsia="en-US"/>
        </w:rPr>
        <w:t>María Angelita Azaña Tenesaca y su padre José Fernando Roche Zhizhingo</w:t>
      </w:r>
      <w:r w:rsidR="00D96F43" w:rsidRPr="00F955EE">
        <w:rPr>
          <w:rStyle w:val="Refdenotaalpie"/>
          <w:rFonts w:eastAsiaTheme="minorHAnsi"/>
          <w:szCs w:val="16"/>
          <w:lang w:val="es-ES" w:eastAsia="en-US"/>
        </w:rPr>
        <w:footnoteReference w:id="142"/>
      </w:r>
      <w:r w:rsidRPr="00F955EE">
        <w:rPr>
          <w:lang w:val="es-ES" w:eastAsia="es-ES_tradnl"/>
        </w:rPr>
        <w:t>,</w:t>
      </w:r>
      <w:r w:rsidRPr="00F955EE">
        <w:rPr>
          <w:lang w:val="es-ES"/>
        </w:rPr>
        <w:t xml:space="preserve"> </w:t>
      </w:r>
      <w:r w:rsidRPr="00F955EE">
        <w:rPr>
          <w:lang w:val="es-ES" w:eastAsia="es-ES_tradnl"/>
        </w:rPr>
        <w:t xml:space="preserve">quienes en su carácter de víctimas de las violaciones declaradas en </w:t>
      </w:r>
      <w:r w:rsidR="007537A3" w:rsidRPr="00F955EE">
        <w:rPr>
          <w:lang w:val="es-ES" w:eastAsia="es-ES_tradnl"/>
        </w:rPr>
        <w:t>el</w:t>
      </w:r>
      <w:r w:rsidRPr="00F955EE">
        <w:rPr>
          <w:lang w:val="es-ES" w:eastAsia="es-ES_tradnl"/>
        </w:rPr>
        <w:t xml:space="preserve"> </w:t>
      </w:r>
      <w:r w:rsidR="00774A47">
        <w:rPr>
          <w:lang w:val="es-ES" w:eastAsia="es-ES_tradnl"/>
        </w:rPr>
        <w:t>C</w:t>
      </w:r>
      <w:r w:rsidRPr="00F955EE">
        <w:rPr>
          <w:lang w:val="es-ES" w:eastAsia="es-ES_tradnl"/>
        </w:rPr>
        <w:t>apítulo</w:t>
      </w:r>
      <w:r w:rsidR="007537A3" w:rsidRPr="00F955EE">
        <w:rPr>
          <w:lang w:val="es-ES" w:eastAsia="es-ES_tradnl"/>
        </w:rPr>
        <w:t xml:space="preserve"> VI </w:t>
      </w:r>
      <w:r w:rsidRPr="00F955EE">
        <w:rPr>
          <w:lang w:val="es-ES" w:eastAsia="es-ES_tradnl"/>
        </w:rPr>
        <w:t xml:space="preserve">serán beneficiarios de las reparaciones que la Corte ordene. </w:t>
      </w:r>
    </w:p>
    <w:p w14:paraId="47AC5FFE" w14:textId="76238D5A" w:rsidR="002D77E4" w:rsidRPr="00F955EE" w:rsidRDefault="002D77E4" w:rsidP="00B52909">
      <w:pPr>
        <w:pStyle w:val="Ttulo2"/>
        <w:rPr>
          <w:lang w:val="es-ES"/>
        </w:rPr>
      </w:pPr>
      <w:bookmarkStart w:id="85" w:name="_Toc15064196"/>
      <w:bookmarkStart w:id="86" w:name="_Toc15933772"/>
      <w:bookmarkStart w:id="87" w:name="_Toc33017897"/>
      <w:bookmarkStart w:id="88" w:name="_Toc43216169"/>
      <w:r w:rsidRPr="00F955EE">
        <w:rPr>
          <w:lang w:val="es-ES"/>
        </w:rPr>
        <w:t>B. Investigación, determinación, enjuiciamiento y, en su caso, sanción de todos los responsables</w:t>
      </w:r>
      <w:bookmarkEnd w:id="85"/>
      <w:bookmarkEnd w:id="86"/>
      <w:bookmarkEnd w:id="87"/>
      <w:bookmarkEnd w:id="88"/>
    </w:p>
    <w:p w14:paraId="2FBB90E1" w14:textId="4E3490D0" w:rsidR="002D77E4" w:rsidRPr="00F955EE" w:rsidRDefault="002D77E4" w:rsidP="004F0770">
      <w:pPr>
        <w:numPr>
          <w:ilvl w:val="0"/>
          <w:numId w:val="4"/>
        </w:numPr>
        <w:tabs>
          <w:tab w:val="left" w:pos="567"/>
          <w:tab w:val="num" w:pos="5057"/>
        </w:tabs>
        <w:ind w:left="0" w:firstLine="0"/>
        <w:textAlignment w:val="auto"/>
        <w:rPr>
          <w:rFonts w:eastAsia="MS Mincho"/>
          <w:lang w:val="es-ES" w:bidi="en-US"/>
        </w:rPr>
      </w:pPr>
      <w:r w:rsidRPr="00F955EE">
        <w:rPr>
          <w:rFonts w:eastAsia="MS Mincho"/>
          <w:lang w:val="es-ES" w:bidi="en-US"/>
        </w:rPr>
        <w:t xml:space="preserve">La </w:t>
      </w:r>
      <w:r w:rsidRPr="00F955EE">
        <w:rPr>
          <w:rFonts w:eastAsia="MS Mincho"/>
          <w:b/>
          <w:i/>
          <w:lang w:val="es-ES" w:bidi="en-US"/>
        </w:rPr>
        <w:t>Comisión</w:t>
      </w:r>
      <w:r w:rsidRPr="00F955EE">
        <w:rPr>
          <w:rFonts w:eastAsia="MS Mincho"/>
          <w:lang w:val="es-ES" w:bidi="en-US"/>
        </w:rPr>
        <w:t xml:space="preserve"> </w:t>
      </w:r>
      <w:r w:rsidR="00D46450" w:rsidRPr="00F955EE">
        <w:rPr>
          <w:rFonts w:cs="Cambria"/>
          <w:lang w:val="es-ES"/>
        </w:rPr>
        <w:t>solicitó a la Corte que ordenara</w:t>
      </w:r>
      <w:r w:rsidRPr="00F955EE">
        <w:rPr>
          <w:rFonts w:cs="Cambria"/>
          <w:lang w:val="es-ES"/>
        </w:rPr>
        <w:t xml:space="preserve"> </w:t>
      </w:r>
      <w:r w:rsidR="00D46450" w:rsidRPr="00F955EE">
        <w:rPr>
          <w:rFonts w:cs="Cambria"/>
          <w:lang w:val="es-ES"/>
        </w:rPr>
        <w:t>al</w:t>
      </w:r>
      <w:r w:rsidRPr="00F955EE">
        <w:rPr>
          <w:rFonts w:cs="Cambria"/>
          <w:lang w:val="es-ES"/>
        </w:rPr>
        <w:t xml:space="preserve"> Estado reabrir la investigación penal de manera diligente, efectiva y dentro de un plazo razonable con el objeto de esclarecer los hechos en forma completa, identificar todas las posibles responsabilidades e imponer las sanciones que correspondan. En este sentido, resaltó que el Estado no podrá oponer la garantía de </w:t>
      </w:r>
      <w:r w:rsidRPr="00F955EE">
        <w:rPr>
          <w:rFonts w:cs="Cambria"/>
          <w:i/>
          <w:lang w:val="es-ES"/>
        </w:rPr>
        <w:t>ne bis in idem</w:t>
      </w:r>
      <w:r w:rsidRPr="00F955EE">
        <w:rPr>
          <w:rFonts w:cs="Cambria"/>
          <w:lang w:val="es-ES"/>
        </w:rPr>
        <w:t xml:space="preserve">, cosa juzgada o prescripción, para justificar el cumplimiento de dicha medida. </w:t>
      </w:r>
    </w:p>
    <w:p w14:paraId="49B1D60A" w14:textId="77777777" w:rsidR="002D77E4" w:rsidRPr="00F955EE" w:rsidRDefault="002D77E4" w:rsidP="002D77E4">
      <w:pPr>
        <w:tabs>
          <w:tab w:val="left" w:pos="709"/>
          <w:tab w:val="num" w:pos="1427"/>
        </w:tabs>
        <w:ind w:right="-90"/>
        <w:rPr>
          <w:lang w:val="es-ES"/>
        </w:rPr>
      </w:pPr>
    </w:p>
    <w:p w14:paraId="466D105B" w14:textId="1A4A7F0A" w:rsidR="002D77E4" w:rsidRPr="00F955EE" w:rsidRDefault="002D77E4" w:rsidP="004F0770">
      <w:pPr>
        <w:numPr>
          <w:ilvl w:val="0"/>
          <w:numId w:val="4"/>
        </w:numPr>
        <w:tabs>
          <w:tab w:val="left" w:pos="567"/>
          <w:tab w:val="num" w:pos="5057"/>
        </w:tabs>
        <w:ind w:left="0" w:firstLine="0"/>
        <w:textAlignment w:val="auto"/>
        <w:rPr>
          <w:rFonts w:eastAsia="MS Mincho"/>
          <w:lang w:val="es-ES" w:bidi="en-US"/>
        </w:rPr>
      </w:pPr>
      <w:r w:rsidRPr="00F955EE">
        <w:rPr>
          <w:bCs/>
          <w:lang w:val="es-ES" w:bidi="en-US"/>
        </w:rPr>
        <w:t xml:space="preserve">En el mismo sentido, el </w:t>
      </w:r>
      <w:r w:rsidRPr="00F955EE">
        <w:rPr>
          <w:b/>
          <w:bCs/>
          <w:i/>
          <w:lang w:val="es-ES" w:bidi="en-US"/>
        </w:rPr>
        <w:t>representante</w:t>
      </w:r>
      <w:r w:rsidR="008A1ECC" w:rsidRPr="00F955EE">
        <w:rPr>
          <w:rFonts w:eastAsia="MS Mincho"/>
          <w:lang w:val="es-ES" w:bidi="en-US"/>
        </w:rPr>
        <w:t xml:space="preserve"> </w:t>
      </w:r>
      <w:r w:rsidRPr="00F955EE">
        <w:rPr>
          <w:rFonts w:eastAsia="MS Mincho"/>
          <w:lang w:val="es-ES" w:bidi="en-US"/>
        </w:rPr>
        <w:t>solicitó que se requiera al Estado conducir la investigación pertinente.</w:t>
      </w:r>
      <w:r w:rsidRPr="00F955EE">
        <w:rPr>
          <w:rFonts w:cs="Arial"/>
          <w:lang w:val="es-ES"/>
        </w:rPr>
        <w:t xml:space="preserve"> </w:t>
      </w:r>
    </w:p>
    <w:p w14:paraId="61193AEA" w14:textId="77777777" w:rsidR="002D77E4" w:rsidRPr="00F955EE" w:rsidRDefault="002D77E4" w:rsidP="002D77E4">
      <w:pPr>
        <w:tabs>
          <w:tab w:val="left" w:pos="567"/>
        </w:tabs>
        <w:textAlignment w:val="auto"/>
        <w:rPr>
          <w:rFonts w:eastAsia="Verdana" w:cs="Verdana"/>
          <w:b/>
          <w:bCs/>
          <w:lang w:val="es-ES"/>
        </w:rPr>
      </w:pPr>
    </w:p>
    <w:p w14:paraId="50CF0D11" w14:textId="28F15C24" w:rsidR="006F36EF" w:rsidRDefault="002D77E4" w:rsidP="004F0770">
      <w:pPr>
        <w:numPr>
          <w:ilvl w:val="0"/>
          <w:numId w:val="4"/>
        </w:numPr>
        <w:tabs>
          <w:tab w:val="left" w:pos="567"/>
          <w:tab w:val="num" w:pos="5057"/>
        </w:tabs>
        <w:ind w:left="0" w:firstLine="0"/>
        <w:textAlignment w:val="auto"/>
        <w:rPr>
          <w:rFonts w:eastAsia="MS Mincho"/>
          <w:b/>
          <w:lang w:val="es-ES"/>
        </w:rPr>
      </w:pPr>
      <w:r w:rsidRPr="00F955EE">
        <w:rPr>
          <w:rFonts w:eastAsia="MS Mincho"/>
          <w:lang w:val="es-ES" w:bidi="en-US"/>
        </w:rPr>
        <w:t>El</w:t>
      </w:r>
      <w:r w:rsidRPr="00F955EE">
        <w:rPr>
          <w:lang w:val="es-ES" w:bidi="en-US"/>
        </w:rPr>
        <w:t xml:space="preserve"> </w:t>
      </w:r>
      <w:r w:rsidRPr="00F955EE">
        <w:rPr>
          <w:b/>
          <w:i/>
          <w:lang w:val="es-ES" w:bidi="en-US"/>
        </w:rPr>
        <w:t>Estado</w:t>
      </w:r>
      <w:r w:rsidRPr="00F955EE">
        <w:rPr>
          <w:lang w:val="es-ES" w:bidi="en-US"/>
        </w:rPr>
        <w:t xml:space="preserve"> manifestó que el proceso penal llevado en sede administrativa policial y jurisdiccional concluyó con un veredicto de inocencia dictado por el Tribunal de Jurados, lo cual, según indicó, patentiza su actuación diligente, profesional y oportuna frente a los hechos del presente caso, independientemente de las personas que estén involucradas. </w:t>
      </w:r>
    </w:p>
    <w:p w14:paraId="5BA42989" w14:textId="77777777" w:rsidR="00534341" w:rsidRPr="00DD2CC6" w:rsidRDefault="00534341" w:rsidP="00534341">
      <w:pPr>
        <w:tabs>
          <w:tab w:val="left" w:pos="567"/>
        </w:tabs>
        <w:textAlignment w:val="auto"/>
        <w:rPr>
          <w:rFonts w:eastAsia="MS Mincho"/>
          <w:b/>
          <w:lang w:val="es-ES"/>
        </w:rPr>
      </w:pPr>
    </w:p>
    <w:p w14:paraId="258FD5A7" w14:textId="2CF0A229" w:rsidR="00777EDC" w:rsidRPr="00A87243" w:rsidRDefault="00A87243" w:rsidP="004F0770">
      <w:pPr>
        <w:numPr>
          <w:ilvl w:val="0"/>
          <w:numId w:val="4"/>
        </w:numPr>
        <w:tabs>
          <w:tab w:val="left" w:pos="567"/>
          <w:tab w:val="num" w:pos="5057"/>
        </w:tabs>
        <w:ind w:left="0" w:firstLine="0"/>
        <w:textAlignment w:val="auto"/>
        <w:rPr>
          <w:rFonts w:eastAsia="MS Mincho"/>
          <w:b/>
          <w:lang w:val="es-ES"/>
        </w:rPr>
      </w:pPr>
      <w:r w:rsidRPr="000B64C0">
        <w:rPr>
          <w:lang w:val="es-ES"/>
        </w:rPr>
        <w:t>La</w:t>
      </w:r>
      <w:r w:rsidR="006F36EF" w:rsidRPr="000B64C0">
        <w:rPr>
          <w:lang w:val="es-ES"/>
        </w:rPr>
        <w:t xml:space="preserve"> Corte </w:t>
      </w:r>
      <w:r w:rsidRPr="000B64C0">
        <w:rPr>
          <w:lang w:val="es-ES"/>
        </w:rPr>
        <w:t>estima</w:t>
      </w:r>
      <w:r w:rsidR="006F36EF" w:rsidRPr="000B64C0">
        <w:rPr>
          <w:lang w:val="es-ES"/>
        </w:rPr>
        <w:t xml:space="preserve"> que, </w:t>
      </w:r>
      <w:r w:rsidRPr="000B64C0">
        <w:rPr>
          <w:lang w:val="es-ES"/>
        </w:rPr>
        <w:t>debido a las particularidades del presente caso</w:t>
      </w:r>
      <w:r w:rsidR="006F36EF" w:rsidRPr="000B64C0">
        <w:rPr>
          <w:lang w:val="es-ES"/>
        </w:rPr>
        <w:t>,</w:t>
      </w:r>
      <w:r w:rsidRPr="000B64C0">
        <w:rPr>
          <w:lang w:val="es-ES"/>
        </w:rPr>
        <w:t xml:space="preserve"> una eventual reapertura del proceso penal no </w:t>
      </w:r>
      <w:r w:rsidR="005668E4" w:rsidRPr="000B64C0">
        <w:rPr>
          <w:lang w:val="es-ES"/>
        </w:rPr>
        <w:t>es</w:t>
      </w:r>
      <w:r w:rsidRPr="000B64C0">
        <w:rPr>
          <w:lang w:val="es-ES"/>
        </w:rPr>
        <w:t xml:space="preserve"> procedente</w:t>
      </w:r>
      <w:r w:rsidR="00BD7004">
        <w:rPr>
          <w:lang w:val="es-ES"/>
        </w:rPr>
        <w:t>; y</w:t>
      </w:r>
      <w:r w:rsidRPr="000B64C0">
        <w:rPr>
          <w:lang w:val="es-ES"/>
        </w:rPr>
        <w:t xml:space="preserve"> </w:t>
      </w:r>
      <w:r w:rsidR="006F36EF" w:rsidRPr="00A87243">
        <w:rPr>
          <w:lang w:val="es-ES"/>
        </w:rPr>
        <w:t xml:space="preserve">ello </w:t>
      </w:r>
      <w:r w:rsidR="006F36EF" w:rsidRPr="00A87243">
        <w:rPr>
          <w:rFonts w:eastAsia="MS Mincho"/>
          <w:lang w:val="es-ES"/>
        </w:rPr>
        <w:t xml:space="preserve">sin perjuicio de que el sufrimiento producido por las violaciones a las garantías judiciales y protección judicial </w:t>
      </w:r>
      <w:r w:rsidR="005151BB" w:rsidRPr="000B64C0">
        <w:rPr>
          <w:rFonts w:eastAsia="MS Mincho"/>
          <w:lang w:val="es-ES"/>
        </w:rPr>
        <w:t>declaradas</w:t>
      </w:r>
      <w:r w:rsidR="005151BB" w:rsidRPr="005151BB">
        <w:rPr>
          <w:rFonts w:eastAsia="MS Mincho"/>
          <w:b/>
          <w:bCs/>
          <w:lang w:val="es-ES"/>
        </w:rPr>
        <w:t xml:space="preserve"> </w:t>
      </w:r>
      <w:r w:rsidR="006F36EF" w:rsidRPr="00A87243">
        <w:rPr>
          <w:rFonts w:eastAsia="MS Mincho"/>
          <w:lang w:val="es-ES"/>
        </w:rPr>
        <w:t>en el presente caso sean evaluadas oportunamente en el apartado de indemnizaciones.</w:t>
      </w:r>
    </w:p>
    <w:p w14:paraId="2147A99E" w14:textId="226A0E87" w:rsidR="00B52909" w:rsidRPr="00F955EE" w:rsidRDefault="002D77E4" w:rsidP="00B52909">
      <w:pPr>
        <w:pStyle w:val="Ttulo2"/>
        <w:rPr>
          <w:lang w:val="es-ES"/>
        </w:rPr>
      </w:pPr>
      <w:bookmarkStart w:id="89" w:name="_Toc43216170"/>
      <w:r w:rsidRPr="00F955EE">
        <w:rPr>
          <w:lang w:val="es-ES"/>
        </w:rPr>
        <w:t>C. Rehabilitación</w:t>
      </w:r>
      <w:bookmarkEnd w:id="89"/>
      <w:r w:rsidRPr="00F955EE">
        <w:rPr>
          <w:lang w:val="es-ES"/>
        </w:rPr>
        <w:t xml:space="preserve"> </w:t>
      </w:r>
    </w:p>
    <w:p w14:paraId="20B65464" w14:textId="36F85FED" w:rsidR="002D77E4" w:rsidRPr="00F955EE" w:rsidRDefault="002D77E4" w:rsidP="004F0770">
      <w:pPr>
        <w:numPr>
          <w:ilvl w:val="0"/>
          <w:numId w:val="4"/>
        </w:numPr>
        <w:tabs>
          <w:tab w:val="left" w:pos="567"/>
        </w:tabs>
        <w:ind w:left="0" w:firstLine="0"/>
        <w:textAlignment w:val="auto"/>
        <w:rPr>
          <w:rFonts w:eastAsia="Calibri"/>
          <w:b/>
          <w:i/>
          <w:lang w:val="es-ES"/>
        </w:rPr>
      </w:pPr>
      <w:r w:rsidRPr="00F955EE">
        <w:rPr>
          <w:lang w:val="es-ES"/>
        </w:rPr>
        <w:t xml:space="preserve">La </w:t>
      </w:r>
      <w:r w:rsidRPr="00F955EE">
        <w:rPr>
          <w:b/>
          <w:i/>
          <w:lang w:val="es-ES"/>
        </w:rPr>
        <w:t>Comisión</w:t>
      </w:r>
      <w:r w:rsidRPr="00F955EE">
        <w:rPr>
          <w:lang w:val="es-ES"/>
        </w:rPr>
        <w:t xml:space="preserve"> </w:t>
      </w:r>
      <w:r w:rsidRPr="00F955EE">
        <w:rPr>
          <w:rFonts w:eastAsia="MS Mincho"/>
          <w:lang w:val="es-ES" w:bidi="en-US"/>
        </w:rPr>
        <w:t xml:space="preserve">solicitó a la Corte </w:t>
      </w:r>
      <w:r w:rsidR="003C3752" w:rsidRPr="00F955EE">
        <w:rPr>
          <w:rFonts w:eastAsia="MS Mincho"/>
          <w:lang w:val="es-ES" w:bidi="en-US"/>
        </w:rPr>
        <w:t>que orden</w:t>
      </w:r>
      <w:r w:rsidR="00FC6ECC">
        <w:rPr>
          <w:rFonts w:eastAsia="MS Mincho"/>
          <w:lang w:val="es-ES" w:bidi="en-US"/>
        </w:rPr>
        <w:t>ara</w:t>
      </w:r>
      <w:r w:rsidR="003C3752" w:rsidRPr="00F955EE">
        <w:rPr>
          <w:rFonts w:eastAsia="MS Mincho"/>
          <w:lang w:val="es-ES" w:bidi="en-US"/>
        </w:rPr>
        <w:t xml:space="preserve"> la adopción de</w:t>
      </w:r>
      <w:r w:rsidRPr="00F955EE">
        <w:rPr>
          <w:rFonts w:eastAsia="MS Mincho"/>
          <w:lang w:val="es-ES" w:bidi="en-US"/>
        </w:rPr>
        <w:t xml:space="preserve"> medidas de atención en salud física y mental necesarias para la rehabilitación del señor Patricio Roche Azaña y de sus padres, de ser su voluntad y de manera concertada. </w:t>
      </w:r>
    </w:p>
    <w:p w14:paraId="0DD045CA" w14:textId="77777777" w:rsidR="002D77E4" w:rsidRPr="00F955EE" w:rsidRDefault="002D77E4" w:rsidP="002D77E4">
      <w:pPr>
        <w:tabs>
          <w:tab w:val="left" w:pos="567"/>
        </w:tabs>
        <w:textAlignment w:val="auto"/>
        <w:rPr>
          <w:rFonts w:eastAsia="MS Mincho"/>
          <w:lang w:val="es-ES" w:bidi="en-US"/>
        </w:rPr>
      </w:pPr>
    </w:p>
    <w:p w14:paraId="0A121879" w14:textId="2B222447" w:rsidR="002D77E4" w:rsidRPr="00F955EE" w:rsidRDefault="002D77E4" w:rsidP="004F0770">
      <w:pPr>
        <w:numPr>
          <w:ilvl w:val="0"/>
          <w:numId w:val="4"/>
        </w:numPr>
        <w:tabs>
          <w:tab w:val="left" w:pos="567"/>
          <w:tab w:val="num" w:pos="5057"/>
        </w:tabs>
        <w:ind w:left="0" w:firstLine="0"/>
        <w:textAlignment w:val="auto"/>
        <w:rPr>
          <w:rFonts w:eastAsia="MS Mincho"/>
          <w:b/>
          <w:lang w:val="es-ES" w:bidi="en-US"/>
        </w:rPr>
      </w:pPr>
      <w:r w:rsidRPr="00F955EE">
        <w:rPr>
          <w:rFonts w:eastAsia="MS Mincho"/>
          <w:lang w:val="es-ES" w:bidi="en-US"/>
        </w:rPr>
        <w:t xml:space="preserve">El </w:t>
      </w:r>
      <w:r w:rsidRPr="00F955EE">
        <w:rPr>
          <w:rFonts w:eastAsia="MS Mincho"/>
          <w:b/>
          <w:i/>
          <w:lang w:val="es-ES" w:bidi="en-US"/>
        </w:rPr>
        <w:t>representante</w:t>
      </w:r>
      <w:r w:rsidRPr="00F955EE">
        <w:rPr>
          <w:rFonts w:eastAsia="MS Mincho"/>
          <w:b/>
          <w:lang w:val="es-ES" w:bidi="en-US"/>
        </w:rPr>
        <w:t xml:space="preserve"> </w:t>
      </w:r>
      <w:r w:rsidRPr="00F955EE">
        <w:rPr>
          <w:rFonts w:eastAsia="MS Mincho"/>
          <w:lang w:val="es-ES" w:bidi="en-US"/>
        </w:rPr>
        <w:t xml:space="preserve">coincidió con lo solicitado por la Comisión. </w:t>
      </w:r>
    </w:p>
    <w:p w14:paraId="7341955F" w14:textId="77777777" w:rsidR="002D77E4" w:rsidRPr="00F955EE" w:rsidRDefault="002D77E4" w:rsidP="002D77E4">
      <w:pPr>
        <w:tabs>
          <w:tab w:val="left" w:pos="567"/>
        </w:tabs>
        <w:textAlignment w:val="auto"/>
        <w:rPr>
          <w:rFonts w:eastAsia="MS Mincho"/>
          <w:b/>
          <w:lang w:val="es-ES" w:bidi="en-US"/>
        </w:rPr>
      </w:pPr>
    </w:p>
    <w:p w14:paraId="360C5F4A" w14:textId="57D68A37" w:rsidR="002D77E4" w:rsidRPr="005B50E4" w:rsidRDefault="002D77E4" w:rsidP="004F0770">
      <w:pPr>
        <w:numPr>
          <w:ilvl w:val="0"/>
          <w:numId w:val="4"/>
        </w:numPr>
        <w:tabs>
          <w:tab w:val="left" w:pos="567"/>
          <w:tab w:val="num" w:pos="5057"/>
        </w:tabs>
        <w:ind w:left="0" w:firstLine="0"/>
        <w:textAlignment w:val="auto"/>
        <w:rPr>
          <w:rFonts w:eastAsia="MS Mincho"/>
          <w:b/>
          <w:lang w:val="es-ES" w:bidi="en-US"/>
        </w:rPr>
      </w:pPr>
      <w:r w:rsidRPr="00F955EE">
        <w:rPr>
          <w:rFonts w:eastAsia="MS Mincho"/>
          <w:lang w:val="es-ES" w:bidi="en-US"/>
        </w:rPr>
        <w:t>Al respecto, el</w:t>
      </w:r>
      <w:r w:rsidRPr="00F955EE">
        <w:rPr>
          <w:rFonts w:eastAsia="MS Mincho"/>
          <w:b/>
          <w:lang w:val="es-ES" w:bidi="en-US"/>
        </w:rPr>
        <w:t xml:space="preserve"> </w:t>
      </w:r>
      <w:r w:rsidRPr="00F955EE">
        <w:rPr>
          <w:rFonts w:eastAsia="MS Mincho"/>
          <w:b/>
          <w:i/>
          <w:lang w:val="es-ES" w:bidi="en-US"/>
        </w:rPr>
        <w:t>Estado</w:t>
      </w:r>
      <w:r w:rsidRPr="00F955EE">
        <w:rPr>
          <w:rFonts w:eastAsia="MS Mincho"/>
          <w:b/>
          <w:lang w:val="es-ES" w:bidi="en-US"/>
        </w:rPr>
        <w:t xml:space="preserve"> </w:t>
      </w:r>
      <w:r w:rsidRPr="00F955EE">
        <w:rPr>
          <w:rFonts w:eastAsia="MS Mincho"/>
          <w:lang w:val="es-ES" w:bidi="en-US"/>
        </w:rPr>
        <w:t xml:space="preserve">alegó que desde la fecha en que acontecieron los hechos del presente caso, los familiares no han solicitado atención física, ni mental, ni han expresado tener algún impedimento de recuperación física o psicológica ante el Estado. </w:t>
      </w:r>
    </w:p>
    <w:p w14:paraId="13B06471" w14:textId="77777777" w:rsidR="002D77E4" w:rsidRPr="00F955EE" w:rsidRDefault="002D77E4" w:rsidP="002D77E4">
      <w:pPr>
        <w:tabs>
          <w:tab w:val="left" w:pos="567"/>
        </w:tabs>
        <w:textAlignment w:val="auto"/>
        <w:rPr>
          <w:rFonts w:eastAsia="MS Mincho"/>
          <w:b/>
          <w:lang w:val="es-ES" w:bidi="en-US"/>
        </w:rPr>
      </w:pPr>
    </w:p>
    <w:p w14:paraId="30BC8E68" w14:textId="4FDC79AB" w:rsidR="00B52909" w:rsidRPr="000B64C0" w:rsidRDefault="002D77E4" w:rsidP="004F0770">
      <w:pPr>
        <w:numPr>
          <w:ilvl w:val="0"/>
          <w:numId w:val="4"/>
        </w:numPr>
        <w:tabs>
          <w:tab w:val="left" w:pos="567"/>
          <w:tab w:val="num" w:pos="5057"/>
        </w:tabs>
        <w:ind w:left="0" w:firstLine="0"/>
        <w:textAlignment w:val="auto"/>
        <w:rPr>
          <w:rFonts w:eastAsia="MS Mincho"/>
          <w:lang w:val="es-ES" w:bidi="en-US"/>
        </w:rPr>
      </w:pPr>
      <w:r w:rsidRPr="00F955EE">
        <w:rPr>
          <w:rFonts w:eastAsia="MS Mincho"/>
          <w:lang w:val="es-ES" w:bidi="en-US"/>
        </w:rPr>
        <w:t>La</w:t>
      </w:r>
      <w:r w:rsidRPr="00F955EE">
        <w:rPr>
          <w:rFonts w:eastAsia="MS Mincho"/>
          <w:b/>
          <w:lang w:val="es-ES" w:bidi="en-US"/>
        </w:rPr>
        <w:t xml:space="preserve"> </w:t>
      </w:r>
      <w:r w:rsidRPr="00F955EE">
        <w:rPr>
          <w:rFonts w:eastAsia="MS Mincho"/>
          <w:b/>
          <w:i/>
          <w:lang w:val="es-ES" w:bidi="en-US"/>
        </w:rPr>
        <w:t>Corte</w:t>
      </w:r>
      <w:r w:rsidRPr="00F955EE">
        <w:rPr>
          <w:rFonts w:eastAsia="MS Mincho"/>
          <w:b/>
          <w:lang w:val="es-ES" w:bidi="en-US"/>
        </w:rPr>
        <w:t xml:space="preserve"> </w:t>
      </w:r>
      <w:r w:rsidRPr="00F955EE">
        <w:rPr>
          <w:rFonts w:eastAsia="MS Mincho"/>
          <w:lang w:val="es-ES" w:bidi="en-US"/>
        </w:rPr>
        <w:t>estima que es preciso disponer una medida de reparación que brinde una atención adecuada a los padecimientos psicológicos y físicos de las víctimas, atendiendo a sus especificidades y antecedentes</w:t>
      </w:r>
      <w:r w:rsidR="007F1555" w:rsidRPr="00F955EE">
        <w:rPr>
          <w:rFonts w:eastAsia="MS Mincho"/>
          <w:lang w:val="es-ES" w:bidi="en-US"/>
        </w:rPr>
        <w:t xml:space="preserve">. </w:t>
      </w:r>
      <w:r w:rsidRPr="00F955EE">
        <w:rPr>
          <w:rFonts w:cs="Tahoma"/>
          <w:color w:val="000000"/>
          <w:lang w:val="es-ES"/>
        </w:rPr>
        <w:t xml:space="preserve">Teniendo en cuenta las consideraciones anteriores, y con el fin de contribuir a la reparación de los daños físicos, psicológicos y/o psiquiátricos sufridos por Patricio Roche Azaña y María Angelita Azaña Tenesaca, y considerando que no residen en Nicaragua, el Tribunal dispone la obligación a cargo del Estado de pagar, </w:t>
      </w:r>
      <w:r w:rsidRPr="000B64C0">
        <w:rPr>
          <w:rFonts w:cs="Tahoma"/>
          <w:color w:val="000000"/>
          <w:lang w:val="es-ES"/>
        </w:rPr>
        <w:t>por una vez</w:t>
      </w:r>
      <w:r w:rsidR="0099092B" w:rsidRPr="0099092B">
        <w:rPr>
          <w:rFonts w:cs="Tahoma"/>
          <w:color w:val="000000"/>
          <w:lang w:val="es-ES"/>
        </w:rPr>
        <w:t>,</w:t>
      </w:r>
      <w:r w:rsidRPr="00F955EE">
        <w:rPr>
          <w:rFonts w:cs="Tahoma"/>
          <w:color w:val="000000"/>
          <w:lang w:val="es-ES"/>
        </w:rPr>
        <w:t xml:space="preserve"> la suma de USD$</w:t>
      </w:r>
      <w:r w:rsidR="004D7A0D">
        <w:rPr>
          <w:rFonts w:cs="Tahoma"/>
          <w:color w:val="000000"/>
          <w:lang w:val="es-ES"/>
        </w:rPr>
        <w:t xml:space="preserve"> </w:t>
      </w:r>
      <w:r w:rsidR="00A27791" w:rsidRPr="00F955EE">
        <w:rPr>
          <w:rFonts w:cs="Tahoma"/>
          <w:color w:val="000000"/>
          <w:lang w:val="es-ES"/>
        </w:rPr>
        <w:t>2</w:t>
      </w:r>
      <w:r w:rsidRPr="00F955EE">
        <w:rPr>
          <w:rFonts w:cs="Tahoma"/>
          <w:color w:val="000000"/>
          <w:lang w:val="es-ES"/>
        </w:rPr>
        <w:t>0</w:t>
      </w:r>
      <w:r w:rsidR="000B64C0">
        <w:rPr>
          <w:rFonts w:cs="Tahoma"/>
          <w:color w:val="000000"/>
          <w:lang w:val="es-ES"/>
        </w:rPr>
        <w:t>,</w:t>
      </w:r>
      <w:r w:rsidRPr="00F955EE">
        <w:rPr>
          <w:rFonts w:cs="Tahoma"/>
          <w:color w:val="000000"/>
          <w:lang w:val="es-ES"/>
        </w:rPr>
        <w:t>000 (</w:t>
      </w:r>
      <w:r w:rsidR="00A27791" w:rsidRPr="00F955EE">
        <w:rPr>
          <w:rFonts w:cs="Tahoma"/>
          <w:color w:val="000000"/>
          <w:lang w:val="es-ES"/>
        </w:rPr>
        <w:t xml:space="preserve">veinte </w:t>
      </w:r>
      <w:r w:rsidRPr="00F955EE">
        <w:rPr>
          <w:rFonts w:cs="Tahoma"/>
          <w:color w:val="000000"/>
          <w:lang w:val="es-ES"/>
        </w:rPr>
        <w:t>mil dólares de los Estados Unidos de América)</w:t>
      </w:r>
      <w:r w:rsidR="006F4876" w:rsidRPr="00F955EE">
        <w:rPr>
          <w:rFonts w:cs="Tahoma"/>
          <w:color w:val="000000"/>
          <w:lang w:val="es-ES"/>
        </w:rPr>
        <w:t xml:space="preserve"> a Patricio Fernando Roche Azaña, y USD$</w:t>
      </w:r>
      <w:r w:rsidR="00BD7004">
        <w:rPr>
          <w:rFonts w:cs="Tahoma"/>
          <w:color w:val="000000"/>
          <w:lang w:val="es-ES"/>
        </w:rPr>
        <w:t> </w:t>
      </w:r>
      <w:r w:rsidR="00A27791" w:rsidRPr="00F955EE">
        <w:rPr>
          <w:rFonts w:cs="Tahoma"/>
          <w:color w:val="000000"/>
          <w:lang w:val="es-ES"/>
        </w:rPr>
        <w:t>10</w:t>
      </w:r>
      <w:r w:rsidR="000B64C0">
        <w:rPr>
          <w:rFonts w:cs="Tahoma"/>
          <w:color w:val="000000"/>
          <w:lang w:val="es-ES"/>
        </w:rPr>
        <w:t>,</w:t>
      </w:r>
      <w:r w:rsidR="006F4876" w:rsidRPr="00F955EE">
        <w:rPr>
          <w:rFonts w:cs="Tahoma"/>
          <w:color w:val="000000"/>
          <w:lang w:val="es-ES"/>
        </w:rPr>
        <w:t>000 (</w:t>
      </w:r>
      <w:r w:rsidR="00A27791" w:rsidRPr="00F955EE">
        <w:rPr>
          <w:rFonts w:cs="Tahoma"/>
          <w:color w:val="000000"/>
          <w:lang w:val="es-ES"/>
        </w:rPr>
        <w:t xml:space="preserve">diez </w:t>
      </w:r>
      <w:r w:rsidR="006F4876" w:rsidRPr="00F955EE">
        <w:rPr>
          <w:rFonts w:cs="Tahoma"/>
          <w:color w:val="000000"/>
          <w:lang w:val="es-ES"/>
        </w:rPr>
        <w:t xml:space="preserve">mil dólares de los Estados Unidos de América) a María </w:t>
      </w:r>
      <w:r w:rsidR="006F4876" w:rsidRPr="00F955EE">
        <w:rPr>
          <w:rFonts w:eastAsiaTheme="minorHAnsi"/>
          <w:szCs w:val="16"/>
          <w:lang w:val="es-ES" w:eastAsia="en-US"/>
        </w:rPr>
        <w:t>Angelita Azaña Tenesaca</w:t>
      </w:r>
      <w:r w:rsidR="006F4876" w:rsidRPr="00F955EE">
        <w:rPr>
          <w:lang w:val="es-ES" w:eastAsia="es-ES_tradnl"/>
        </w:rPr>
        <w:t>,</w:t>
      </w:r>
      <w:r w:rsidR="006F4876" w:rsidRPr="00F955EE">
        <w:rPr>
          <w:rFonts w:cs="Tahoma"/>
          <w:color w:val="000000"/>
          <w:lang w:val="es-ES"/>
        </w:rPr>
        <w:t xml:space="preserve"> p</w:t>
      </w:r>
      <w:r w:rsidRPr="00F955EE">
        <w:rPr>
          <w:rFonts w:cs="Tahoma"/>
          <w:color w:val="000000"/>
          <w:lang w:val="es-ES"/>
        </w:rPr>
        <w:t>or concepto de gastos por tratamiento médico, psicológico y/o psiquiátrico, así como por medicamentos y otros gastos conexos, para que puedan recibir dicha atención en el lugar donde residan. El Estado dispondrá del plazo de un año, contado a partir de la notificación de la presente Sentencia, para realizar este pago.</w:t>
      </w:r>
    </w:p>
    <w:p w14:paraId="15697855" w14:textId="6776760A" w:rsidR="002D77E4" w:rsidRPr="00F955EE" w:rsidRDefault="002D77E4" w:rsidP="002D77E4">
      <w:pPr>
        <w:pStyle w:val="Ttulo2"/>
        <w:rPr>
          <w:lang w:val="es-ES"/>
        </w:rPr>
      </w:pPr>
      <w:bookmarkStart w:id="90" w:name="_Toc43216171"/>
      <w:bookmarkStart w:id="91" w:name="_Toc15933773"/>
      <w:bookmarkStart w:id="92" w:name="_Toc33017898"/>
      <w:r w:rsidRPr="00F955EE">
        <w:rPr>
          <w:lang w:val="es-ES"/>
        </w:rPr>
        <w:t>D. Medidas de satisfacción</w:t>
      </w:r>
      <w:bookmarkEnd w:id="90"/>
      <w:r w:rsidRPr="00F955EE">
        <w:rPr>
          <w:lang w:val="es-ES"/>
        </w:rPr>
        <w:t xml:space="preserve"> </w:t>
      </w:r>
      <w:bookmarkEnd w:id="91"/>
      <w:bookmarkEnd w:id="92"/>
    </w:p>
    <w:p w14:paraId="2EE74B4A" w14:textId="46B50F80" w:rsidR="008A1ECC" w:rsidRPr="00F955EE" w:rsidRDefault="008A1ECC" w:rsidP="004F0770">
      <w:pPr>
        <w:numPr>
          <w:ilvl w:val="0"/>
          <w:numId w:val="4"/>
        </w:numPr>
        <w:tabs>
          <w:tab w:val="left" w:pos="567"/>
          <w:tab w:val="num" w:pos="5057"/>
        </w:tabs>
        <w:ind w:left="0" w:firstLine="0"/>
        <w:textAlignment w:val="auto"/>
        <w:rPr>
          <w:rFonts w:eastAsia="MS Mincho"/>
          <w:iCs/>
          <w:lang w:val="es-ES" w:bidi="en-US"/>
        </w:rPr>
      </w:pPr>
      <w:r w:rsidRPr="00F955EE">
        <w:rPr>
          <w:rFonts w:eastAsia="MS Mincho"/>
          <w:iCs/>
          <w:lang w:val="es-ES" w:bidi="en-US"/>
        </w:rPr>
        <w:t xml:space="preserve">La </w:t>
      </w:r>
      <w:r w:rsidRPr="00F955EE">
        <w:rPr>
          <w:rFonts w:eastAsia="MS Mincho"/>
          <w:b/>
          <w:bCs/>
          <w:i/>
          <w:lang w:val="es-ES" w:bidi="en-US"/>
        </w:rPr>
        <w:t>Comisión</w:t>
      </w:r>
      <w:r w:rsidRPr="00F955EE">
        <w:rPr>
          <w:rFonts w:eastAsia="MS Mincho"/>
          <w:iCs/>
          <w:lang w:val="es-ES" w:bidi="en-US"/>
        </w:rPr>
        <w:t xml:space="preserve"> solicitó</w:t>
      </w:r>
      <w:r w:rsidR="00BB57BF" w:rsidRPr="00F955EE">
        <w:rPr>
          <w:rFonts w:eastAsia="MS Mincho"/>
          <w:iCs/>
          <w:lang w:val="es-ES" w:bidi="en-US"/>
        </w:rPr>
        <w:t>, de manera general,</w:t>
      </w:r>
      <w:r w:rsidRPr="00F955EE">
        <w:rPr>
          <w:rFonts w:eastAsia="MS Mincho"/>
          <w:iCs/>
          <w:lang w:val="es-ES" w:bidi="en-US"/>
        </w:rPr>
        <w:t xml:space="preserve"> que se adopten las medidas de satisfacción </w:t>
      </w:r>
      <w:r w:rsidR="003C3752" w:rsidRPr="00F955EE">
        <w:rPr>
          <w:rFonts w:eastAsia="MS Mincho"/>
          <w:iCs/>
          <w:lang w:val="es-ES" w:bidi="en-US"/>
        </w:rPr>
        <w:t>necesarias</w:t>
      </w:r>
      <w:r w:rsidRPr="00F955EE">
        <w:rPr>
          <w:rFonts w:eastAsia="MS Mincho"/>
          <w:iCs/>
          <w:lang w:val="es-ES" w:bidi="en-US"/>
        </w:rPr>
        <w:t xml:space="preserve"> para reparar integralmente las violaciones de derechos humanos declaradas. </w:t>
      </w:r>
    </w:p>
    <w:p w14:paraId="7E12BB6C" w14:textId="77777777" w:rsidR="003C3752" w:rsidRPr="00F955EE" w:rsidRDefault="003C3752" w:rsidP="003C3752">
      <w:pPr>
        <w:tabs>
          <w:tab w:val="left" w:pos="567"/>
        </w:tabs>
        <w:textAlignment w:val="auto"/>
        <w:rPr>
          <w:rFonts w:eastAsia="MS Mincho"/>
          <w:iCs/>
          <w:lang w:val="es-ES" w:bidi="en-US"/>
        </w:rPr>
      </w:pPr>
    </w:p>
    <w:p w14:paraId="521E0AD1" w14:textId="539D32FF" w:rsidR="00DA3549" w:rsidRPr="00F955EE" w:rsidRDefault="003C3752" w:rsidP="004F0770">
      <w:pPr>
        <w:numPr>
          <w:ilvl w:val="0"/>
          <w:numId w:val="4"/>
        </w:numPr>
        <w:tabs>
          <w:tab w:val="left" w:pos="567"/>
          <w:tab w:val="num" w:pos="5057"/>
        </w:tabs>
        <w:ind w:left="0" w:firstLine="0"/>
        <w:textAlignment w:val="auto"/>
        <w:rPr>
          <w:rFonts w:eastAsia="MS Mincho"/>
          <w:i/>
          <w:lang w:val="es-ES" w:bidi="en-US"/>
        </w:rPr>
      </w:pPr>
      <w:r w:rsidRPr="00F955EE">
        <w:rPr>
          <w:rFonts w:eastAsia="MS Mincho"/>
          <w:lang w:val="es-ES" w:bidi="en-US"/>
        </w:rPr>
        <w:t>Ni</w:t>
      </w:r>
      <w:r w:rsidR="00B52909" w:rsidRPr="00F955EE">
        <w:rPr>
          <w:rFonts w:eastAsia="MS Mincho"/>
          <w:bCs/>
          <w:iCs/>
          <w:lang w:val="es-ES" w:bidi="en-US"/>
        </w:rPr>
        <w:t xml:space="preserve"> el </w:t>
      </w:r>
      <w:r w:rsidR="00B52909" w:rsidRPr="006D4185">
        <w:rPr>
          <w:rFonts w:eastAsia="MS Mincho"/>
          <w:b/>
          <w:bCs/>
          <w:i/>
          <w:lang w:val="es-ES" w:bidi="en-US"/>
        </w:rPr>
        <w:t>representante</w:t>
      </w:r>
      <w:r w:rsidRPr="00F955EE">
        <w:rPr>
          <w:rFonts w:eastAsia="MS Mincho"/>
          <w:bCs/>
          <w:iCs/>
          <w:lang w:val="es-ES" w:bidi="en-US"/>
        </w:rPr>
        <w:t xml:space="preserve"> </w:t>
      </w:r>
      <w:r w:rsidR="00B52909" w:rsidRPr="00F955EE">
        <w:rPr>
          <w:rFonts w:eastAsia="MS Mincho"/>
          <w:bCs/>
          <w:iCs/>
          <w:lang w:val="es-ES" w:bidi="en-US"/>
        </w:rPr>
        <w:t xml:space="preserve">ni el </w:t>
      </w:r>
      <w:r w:rsidR="00B52909" w:rsidRPr="006D4185">
        <w:rPr>
          <w:rFonts w:eastAsia="MS Mincho"/>
          <w:b/>
          <w:bCs/>
          <w:i/>
          <w:lang w:val="es-ES" w:bidi="en-US"/>
        </w:rPr>
        <w:t>Estado</w:t>
      </w:r>
      <w:r w:rsidR="00B52909" w:rsidRPr="00F955EE">
        <w:rPr>
          <w:rFonts w:eastAsia="MS Mincho"/>
          <w:bCs/>
          <w:iCs/>
          <w:lang w:val="es-ES" w:bidi="en-US"/>
        </w:rPr>
        <w:t xml:space="preserve"> realizaron ningún tipo de alegación a este respecto</w:t>
      </w:r>
      <w:r w:rsidRPr="00F955EE">
        <w:rPr>
          <w:rFonts w:eastAsia="MS Mincho"/>
          <w:bCs/>
          <w:lang w:val="es-ES" w:bidi="en-US"/>
        </w:rPr>
        <w:t>.</w:t>
      </w:r>
    </w:p>
    <w:p w14:paraId="0005A91D" w14:textId="77777777" w:rsidR="00063927" w:rsidRPr="00F955EE" w:rsidRDefault="00063927" w:rsidP="00063927">
      <w:pPr>
        <w:tabs>
          <w:tab w:val="left" w:pos="567"/>
        </w:tabs>
        <w:textAlignment w:val="auto"/>
        <w:rPr>
          <w:rFonts w:eastAsia="MS Mincho"/>
          <w:lang w:bidi="en-US"/>
        </w:rPr>
      </w:pPr>
    </w:p>
    <w:p w14:paraId="4B7DA852" w14:textId="7BD75021" w:rsidR="00B52909" w:rsidRPr="00F955EE" w:rsidRDefault="003C3752" w:rsidP="004F0770">
      <w:pPr>
        <w:numPr>
          <w:ilvl w:val="0"/>
          <w:numId w:val="4"/>
        </w:numPr>
        <w:tabs>
          <w:tab w:val="left" w:pos="567"/>
          <w:tab w:val="num" w:pos="5057"/>
        </w:tabs>
        <w:ind w:left="0" w:firstLine="0"/>
        <w:textAlignment w:val="auto"/>
        <w:rPr>
          <w:rFonts w:eastAsia="MS Mincho"/>
          <w:i/>
          <w:lang w:val="es-ES" w:bidi="en-US"/>
        </w:rPr>
      </w:pPr>
      <w:r w:rsidRPr="00F955EE">
        <w:rPr>
          <w:rFonts w:eastAsia="MS Mincho"/>
          <w:lang w:val="es-ES" w:bidi="en-US"/>
        </w:rPr>
        <w:t>L</w:t>
      </w:r>
      <w:r w:rsidR="002D77E4" w:rsidRPr="00F955EE">
        <w:rPr>
          <w:rFonts w:eastAsia="MS Mincho"/>
          <w:lang w:val="es-ES" w:bidi="en-US"/>
        </w:rPr>
        <w:t xml:space="preserve">a </w:t>
      </w:r>
      <w:r w:rsidR="002D77E4" w:rsidRPr="00F955EE">
        <w:rPr>
          <w:rFonts w:eastAsia="MS Mincho"/>
          <w:b/>
          <w:bCs/>
          <w:i/>
          <w:iCs/>
          <w:lang w:val="es-ES" w:bidi="en-US"/>
        </w:rPr>
        <w:t>Corte</w:t>
      </w:r>
      <w:r w:rsidR="002D77E4" w:rsidRPr="00F955EE">
        <w:rPr>
          <w:rFonts w:eastAsia="MS Mincho"/>
          <w:lang w:val="es-ES" w:bidi="en-US"/>
        </w:rPr>
        <w:t xml:space="preserve"> estima, como lo ha dispuesto en otros casos</w:t>
      </w:r>
      <w:r w:rsidR="002D77E4" w:rsidRPr="00F955EE">
        <w:rPr>
          <w:rStyle w:val="Refdenotaalpie"/>
          <w:rFonts w:eastAsia="MS Mincho"/>
          <w:lang w:val="es-ES" w:bidi="en-US"/>
        </w:rPr>
        <w:footnoteReference w:id="143"/>
      </w:r>
      <w:r w:rsidR="002D77E4" w:rsidRPr="00F955EE">
        <w:rPr>
          <w:rFonts w:eastAsia="MS Mincho"/>
          <w:lang w:val="es-ES" w:bidi="en-US"/>
        </w:rPr>
        <w:t xml:space="preserve">, que el Estado debe publicar, en el plazo de seis meses, contado a partir de la notificación de la presente Sentencia: a) el resumen oficial de la presente Sentencia elaborado por la Corte, por una sola vez, en el Diario Oficial en un tamaño de letra legible y adecuado; b) el resumen oficial de la presente Sentencia elaborado por la Corte, por una sola vez, en un diario de amplia circulación nacional en un tamaño de letra legible y adecuado, y c) la presente Sentencia en su integridad, disponible por un período de un año, en un sitio </w:t>
      </w:r>
      <w:r w:rsidR="002D77E4" w:rsidRPr="00F955EE">
        <w:rPr>
          <w:rFonts w:eastAsia="MS Mincho"/>
          <w:i/>
          <w:lang w:val="es-ES" w:bidi="en-US"/>
        </w:rPr>
        <w:t>web</w:t>
      </w:r>
      <w:r w:rsidR="002D77E4" w:rsidRPr="00F955EE">
        <w:rPr>
          <w:rFonts w:eastAsia="MS Mincho"/>
          <w:lang w:val="es-ES" w:bidi="en-US"/>
        </w:rPr>
        <w:t xml:space="preserve"> oficial del Estado.</w:t>
      </w:r>
      <w:r w:rsidR="002D77E4" w:rsidRPr="00F955EE">
        <w:rPr>
          <w:rFonts w:eastAsia="MS Mincho"/>
          <w:i/>
          <w:lang w:val="es-ES" w:bidi="en-US"/>
        </w:rPr>
        <w:t xml:space="preserve"> </w:t>
      </w:r>
      <w:r w:rsidR="002D77E4" w:rsidRPr="00F955EE">
        <w:rPr>
          <w:rFonts w:eastAsiaTheme="minorHAnsi" w:cs="Verdana"/>
          <w:lang w:val="es-ES" w:eastAsia="en-US"/>
        </w:rPr>
        <w:t xml:space="preserve">El Estado deberá informar de forma inmediata a este Tribunal una vez que proceda a realizar cada una </w:t>
      </w:r>
      <w:r w:rsidR="002D77E4" w:rsidRPr="00F955EE">
        <w:rPr>
          <w:rFonts w:eastAsia="MS Mincho"/>
          <w:lang w:val="es-ES" w:bidi="en-US"/>
        </w:rPr>
        <w:t>de</w:t>
      </w:r>
      <w:r w:rsidR="002D77E4" w:rsidRPr="00F955EE">
        <w:rPr>
          <w:rFonts w:eastAsiaTheme="minorHAnsi" w:cs="Verdana"/>
          <w:lang w:val="es-ES" w:eastAsia="en-US"/>
        </w:rPr>
        <w:t xml:space="preserve"> las publicaciones dispuestas, independientemente del plazo de un año para presentar su primer informe dispuesto en el punto resolutivo </w:t>
      </w:r>
      <w:r w:rsidR="00BD7004">
        <w:rPr>
          <w:rFonts w:eastAsiaTheme="minorHAnsi" w:cs="Verdana"/>
          <w:lang w:val="es-ES" w:eastAsia="en-US"/>
        </w:rPr>
        <w:t>11</w:t>
      </w:r>
      <w:r w:rsidR="002D77E4" w:rsidRPr="00F955EE">
        <w:rPr>
          <w:rFonts w:eastAsiaTheme="minorHAnsi" w:cs="Verdana"/>
          <w:lang w:val="es-ES" w:eastAsia="en-US"/>
        </w:rPr>
        <w:t xml:space="preserve"> de la Sentencia.</w:t>
      </w:r>
    </w:p>
    <w:p w14:paraId="5D66AC7B" w14:textId="0819FF0C" w:rsidR="00B52909" w:rsidRPr="00F955EE" w:rsidRDefault="00B95745" w:rsidP="00B52909">
      <w:pPr>
        <w:pStyle w:val="Ttulo2"/>
        <w:rPr>
          <w:lang w:val="es-ES" w:bidi="en-US"/>
        </w:rPr>
      </w:pPr>
      <w:bookmarkStart w:id="93" w:name="_Toc43216172"/>
      <w:r w:rsidRPr="00F955EE">
        <w:rPr>
          <w:lang w:val="es-ES"/>
        </w:rPr>
        <w:t>E</w:t>
      </w:r>
      <w:r w:rsidR="00B52909" w:rsidRPr="00F955EE">
        <w:rPr>
          <w:lang w:val="es-ES"/>
        </w:rPr>
        <w:t xml:space="preserve">. </w:t>
      </w:r>
      <w:r w:rsidR="00073397" w:rsidRPr="00F955EE">
        <w:rPr>
          <w:lang w:val="es-ES"/>
        </w:rPr>
        <w:t xml:space="preserve">Garantías </w:t>
      </w:r>
      <w:r w:rsidR="00B52909" w:rsidRPr="00F955EE">
        <w:rPr>
          <w:lang w:val="es-ES"/>
        </w:rPr>
        <w:t>de no repetición</w:t>
      </w:r>
      <w:bookmarkEnd w:id="93"/>
    </w:p>
    <w:p w14:paraId="4B9A0A30" w14:textId="58348536" w:rsidR="002D77E4" w:rsidRPr="00F955EE" w:rsidRDefault="002D77E4" w:rsidP="004F0770">
      <w:pPr>
        <w:numPr>
          <w:ilvl w:val="0"/>
          <w:numId w:val="4"/>
        </w:numPr>
        <w:tabs>
          <w:tab w:val="left" w:pos="567"/>
        </w:tabs>
        <w:ind w:left="0" w:firstLine="0"/>
        <w:textAlignment w:val="auto"/>
        <w:rPr>
          <w:rFonts w:eastAsia="MS Mincho"/>
          <w:lang w:val="es-ES" w:bidi="en-US"/>
        </w:rPr>
      </w:pPr>
      <w:r w:rsidRPr="00F955EE">
        <w:rPr>
          <w:rFonts w:eastAsia="MS Mincho"/>
          <w:lang w:val="es-ES" w:bidi="en-US"/>
        </w:rPr>
        <w:t xml:space="preserve">La </w:t>
      </w:r>
      <w:r w:rsidRPr="00F955EE">
        <w:rPr>
          <w:rFonts w:eastAsia="MS Mincho" w:cs="Verdana"/>
          <w:b/>
          <w:i/>
          <w:lang w:val="es-ES" w:bidi="en-US"/>
        </w:rPr>
        <w:t>Comisión</w:t>
      </w:r>
      <w:r w:rsidRPr="00F955EE">
        <w:rPr>
          <w:rFonts w:eastAsia="MS Mincho"/>
          <w:lang w:val="es-ES" w:bidi="en-US"/>
        </w:rPr>
        <w:t xml:space="preserve"> solicitó a</w:t>
      </w:r>
      <w:r w:rsidRPr="00F955EE">
        <w:rPr>
          <w:lang w:val="es-ES"/>
        </w:rPr>
        <w:t xml:space="preserve"> la Corte </w:t>
      </w:r>
      <w:r w:rsidR="003C3752" w:rsidRPr="00F955EE">
        <w:rPr>
          <w:lang w:val="es-ES"/>
        </w:rPr>
        <w:t>que orden</w:t>
      </w:r>
      <w:r w:rsidR="00C813E7">
        <w:rPr>
          <w:lang w:val="es-ES"/>
        </w:rPr>
        <w:t>ara</w:t>
      </w:r>
      <w:r w:rsidR="003C3752" w:rsidRPr="00F955EE">
        <w:rPr>
          <w:lang w:val="es-ES"/>
        </w:rPr>
        <w:t xml:space="preserve"> la adopción de</w:t>
      </w:r>
      <w:r w:rsidRPr="00F955EE">
        <w:rPr>
          <w:lang w:val="es-ES"/>
        </w:rPr>
        <w:t xml:space="preserve"> mecanismos de no repetición que incluyan capacitaciones a autoridades sobre el uso de la fuerza conforme a los estándares descritos en su Informe de Fondo, así como sobre los derechos humanos de las personas migrantes</w:t>
      </w:r>
      <w:r w:rsidR="00A27791" w:rsidRPr="00F955EE">
        <w:rPr>
          <w:lang w:val="es-ES"/>
        </w:rPr>
        <w:t>.</w:t>
      </w:r>
      <w:r w:rsidRPr="00F955EE">
        <w:rPr>
          <w:lang w:val="es-ES"/>
        </w:rPr>
        <w:t xml:space="preserve"> </w:t>
      </w:r>
    </w:p>
    <w:p w14:paraId="6F85B1C5" w14:textId="77777777" w:rsidR="002D77E4" w:rsidRPr="00F955EE" w:rsidRDefault="002D77E4" w:rsidP="002D77E4">
      <w:pPr>
        <w:tabs>
          <w:tab w:val="left" w:pos="567"/>
        </w:tabs>
        <w:textAlignment w:val="auto"/>
        <w:rPr>
          <w:rFonts w:eastAsia="MS Mincho"/>
          <w:lang w:val="es-ES" w:bidi="en-US"/>
        </w:rPr>
      </w:pPr>
    </w:p>
    <w:p w14:paraId="7701C6B4" w14:textId="22F5528D" w:rsidR="002D77E4" w:rsidRPr="00F955EE" w:rsidRDefault="002D77E4" w:rsidP="004F0770">
      <w:pPr>
        <w:numPr>
          <w:ilvl w:val="0"/>
          <w:numId w:val="4"/>
        </w:numPr>
        <w:tabs>
          <w:tab w:val="left" w:pos="567"/>
        </w:tabs>
        <w:ind w:left="0" w:firstLine="0"/>
        <w:textAlignment w:val="auto"/>
        <w:rPr>
          <w:rFonts w:eastAsia="MS Mincho"/>
          <w:lang w:val="es-ES" w:bidi="en-US"/>
        </w:rPr>
      </w:pPr>
      <w:r w:rsidRPr="00F955EE">
        <w:rPr>
          <w:rFonts w:eastAsia="MS Mincho"/>
          <w:iCs/>
          <w:lang w:val="es-ES" w:bidi="en-US"/>
        </w:rPr>
        <w:t xml:space="preserve">Asimismo, el </w:t>
      </w:r>
      <w:r w:rsidRPr="00F955EE">
        <w:rPr>
          <w:rFonts w:eastAsia="MS Mincho"/>
          <w:b/>
          <w:i/>
          <w:iCs/>
          <w:lang w:val="es-ES" w:bidi="en-US"/>
        </w:rPr>
        <w:t xml:space="preserve">representante </w:t>
      </w:r>
      <w:r w:rsidRPr="00F955EE">
        <w:rPr>
          <w:rFonts w:eastAsia="MS Mincho"/>
          <w:iCs/>
          <w:lang w:val="es-ES" w:bidi="en-US"/>
        </w:rPr>
        <w:t>coincidió con lo solicitado por la Comisión, al mismo tiempo que</w:t>
      </w:r>
      <w:r w:rsidRPr="00F955EE">
        <w:rPr>
          <w:rFonts w:eastAsia="MS Mincho"/>
          <w:b/>
          <w:i/>
          <w:iCs/>
          <w:lang w:val="es-ES" w:bidi="en-US"/>
        </w:rPr>
        <w:t xml:space="preserve"> </w:t>
      </w:r>
      <w:r w:rsidRPr="00F955EE">
        <w:rPr>
          <w:rFonts w:eastAsia="MS Mincho"/>
          <w:iCs/>
          <w:lang w:val="es-ES" w:bidi="en-US"/>
        </w:rPr>
        <w:t>solicitó que se requiera al Estado disponer las medidas pertinentes para rectificar su negligencia frente a los hechos del presente caso, y con ello disponer los mecanismos necesarios a fin de evitar que estos sigan causando perjuicio en contra de quienes transitan por Nicaragua.</w:t>
      </w:r>
      <w:r w:rsidRPr="00F955EE">
        <w:rPr>
          <w:rFonts w:eastAsia="MS Mincho"/>
          <w:lang w:val="es-ES" w:bidi="en-US"/>
        </w:rPr>
        <w:t xml:space="preserve"> </w:t>
      </w:r>
    </w:p>
    <w:p w14:paraId="1A30D636" w14:textId="77777777" w:rsidR="002D77E4" w:rsidRPr="00F955EE" w:rsidRDefault="002D77E4" w:rsidP="002D77E4">
      <w:pPr>
        <w:tabs>
          <w:tab w:val="left" w:pos="567"/>
        </w:tabs>
        <w:textAlignment w:val="auto"/>
        <w:rPr>
          <w:rFonts w:eastAsia="MS Mincho"/>
          <w:lang w:val="es-ES" w:bidi="en-US"/>
        </w:rPr>
      </w:pPr>
    </w:p>
    <w:p w14:paraId="5E96A1F8" w14:textId="386CBBEC" w:rsidR="002D77E4" w:rsidRPr="00F955EE" w:rsidRDefault="006F4876" w:rsidP="004F0770">
      <w:pPr>
        <w:numPr>
          <w:ilvl w:val="0"/>
          <w:numId w:val="4"/>
        </w:numPr>
        <w:tabs>
          <w:tab w:val="left" w:pos="567"/>
        </w:tabs>
        <w:ind w:left="0" w:firstLine="0"/>
        <w:textAlignment w:val="auto"/>
        <w:rPr>
          <w:rFonts w:eastAsia="MS Mincho"/>
          <w:lang w:val="es-ES" w:bidi="en-US"/>
        </w:rPr>
      </w:pPr>
      <w:r w:rsidRPr="00F955EE">
        <w:rPr>
          <w:rFonts w:eastAsia="MS Mincho"/>
          <w:lang w:val="es-ES" w:bidi="en-US"/>
        </w:rPr>
        <w:t>El</w:t>
      </w:r>
      <w:r w:rsidR="002D77E4" w:rsidRPr="00F955EE">
        <w:rPr>
          <w:rFonts w:eastAsia="MS Mincho"/>
          <w:lang w:val="es-ES" w:bidi="en-US"/>
        </w:rPr>
        <w:t xml:space="preserve"> </w:t>
      </w:r>
      <w:r w:rsidR="002D77E4" w:rsidRPr="00F955EE">
        <w:rPr>
          <w:rFonts w:eastAsia="MS Mincho"/>
          <w:b/>
          <w:i/>
          <w:lang w:val="es-ES" w:bidi="en-US"/>
        </w:rPr>
        <w:t>Estado</w:t>
      </w:r>
      <w:r w:rsidR="002D77E4" w:rsidRPr="00F955EE">
        <w:rPr>
          <w:rFonts w:eastAsia="MS Mincho"/>
          <w:lang w:val="es-ES" w:bidi="en-US"/>
        </w:rPr>
        <w:t xml:space="preserve"> indicó que las autoridades de la Policía Nacional incluyen en su “pensum académico” como eje transversal los derechos humanos para los cursos de formación, capacitación, cursos especializados, licenciaturas, post grados y maestrías, en los cuales se incluyen los principios de actuación policial en lo referentes al uso de la fuerza y empleo de armas de fuego</w:t>
      </w:r>
      <w:r w:rsidR="002D77E4" w:rsidRPr="00F955EE">
        <w:rPr>
          <w:rFonts w:cs="Arial"/>
          <w:lang w:val="es-ES"/>
        </w:rPr>
        <w:t xml:space="preserve">. </w:t>
      </w:r>
    </w:p>
    <w:p w14:paraId="53D08474" w14:textId="77777777" w:rsidR="002D77E4" w:rsidRPr="00F955EE" w:rsidRDefault="002D77E4" w:rsidP="002D77E4">
      <w:pPr>
        <w:tabs>
          <w:tab w:val="left" w:pos="567"/>
        </w:tabs>
        <w:textAlignment w:val="auto"/>
        <w:rPr>
          <w:rFonts w:eastAsia="MS Mincho"/>
          <w:lang w:val="es-ES" w:bidi="en-US"/>
        </w:rPr>
      </w:pPr>
    </w:p>
    <w:p w14:paraId="29D48EDA" w14:textId="1D5B7A82" w:rsidR="00B52909" w:rsidRPr="000B64C0" w:rsidRDefault="00B52909" w:rsidP="004F0770">
      <w:pPr>
        <w:numPr>
          <w:ilvl w:val="0"/>
          <w:numId w:val="4"/>
        </w:numPr>
        <w:tabs>
          <w:tab w:val="left" w:pos="567"/>
        </w:tabs>
        <w:ind w:left="0" w:firstLine="0"/>
        <w:textAlignment w:val="auto"/>
        <w:rPr>
          <w:rFonts w:eastAsia="MS Mincho"/>
          <w:lang w:val="es-ES" w:bidi="en-US"/>
        </w:rPr>
      </w:pPr>
      <w:r w:rsidRPr="00F955EE">
        <w:rPr>
          <w:rFonts w:eastAsia="MS Mincho"/>
          <w:lang w:val="es-ES" w:bidi="en-US"/>
        </w:rPr>
        <w:t xml:space="preserve">En el presente caso, la </w:t>
      </w:r>
      <w:r w:rsidRPr="00F955EE">
        <w:rPr>
          <w:rFonts w:eastAsia="MS Mincho"/>
          <w:b/>
          <w:i/>
          <w:lang w:val="es-ES" w:bidi="en-US"/>
        </w:rPr>
        <w:t>Corte</w:t>
      </w:r>
      <w:r w:rsidRPr="00F955EE">
        <w:rPr>
          <w:rFonts w:eastAsia="MS Mincho"/>
          <w:lang w:val="es-ES" w:bidi="en-US"/>
        </w:rPr>
        <w:t xml:space="preserve"> nota que el Estado no remitió prueba que permitiera a este Tribunal acreditar sus alegatos con respecto </w:t>
      </w:r>
      <w:r w:rsidR="006F4876" w:rsidRPr="00F955EE">
        <w:rPr>
          <w:rFonts w:eastAsia="MS Mincho"/>
          <w:lang w:val="es-ES" w:bidi="en-US"/>
        </w:rPr>
        <w:t xml:space="preserve">a los cursos de formación y capacitación que brinda a </w:t>
      </w:r>
      <w:r w:rsidR="00734755">
        <w:rPr>
          <w:rFonts w:eastAsia="MS Mincho"/>
          <w:lang w:val="es-ES" w:bidi="en-US"/>
        </w:rPr>
        <w:t>los</w:t>
      </w:r>
      <w:r w:rsidR="00734755" w:rsidRPr="00F955EE">
        <w:rPr>
          <w:rFonts w:eastAsia="MS Mincho"/>
          <w:lang w:val="es-ES" w:bidi="en-US"/>
        </w:rPr>
        <w:t xml:space="preserve"> </w:t>
      </w:r>
      <w:r w:rsidR="006F4876" w:rsidRPr="00F955EE">
        <w:rPr>
          <w:rFonts w:eastAsia="MS Mincho"/>
          <w:lang w:val="es-ES" w:bidi="en-US"/>
        </w:rPr>
        <w:t>miembros de la Policía Nacional</w:t>
      </w:r>
      <w:r w:rsidR="00A27791" w:rsidRPr="00F955EE">
        <w:rPr>
          <w:rFonts w:eastAsia="MS Mincho"/>
          <w:lang w:val="es-ES" w:bidi="en-US"/>
        </w:rPr>
        <w:t xml:space="preserve"> y</w:t>
      </w:r>
      <w:r w:rsidR="00C813E7">
        <w:rPr>
          <w:rFonts w:eastAsia="MS Mincho"/>
          <w:lang w:val="es-ES" w:bidi="en-US"/>
        </w:rPr>
        <w:t xml:space="preserve"> de</w:t>
      </w:r>
      <w:r w:rsidR="00734755">
        <w:rPr>
          <w:rFonts w:eastAsia="MS Mincho"/>
          <w:lang w:val="es-ES" w:bidi="en-US"/>
        </w:rPr>
        <w:t>l Ejército de Nicaragua</w:t>
      </w:r>
      <w:r w:rsidRPr="00F955EE">
        <w:rPr>
          <w:rFonts w:eastAsia="MS Mincho"/>
          <w:lang w:val="es-ES" w:bidi="en-US"/>
        </w:rPr>
        <w:t xml:space="preserve">. De esta forma, </w:t>
      </w:r>
      <w:r w:rsidR="006F4876" w:rsidRPr="00F955EE">
        <w:rPr>
          <w:rFonts w:eastAsia="MS Mincho"/>
          <w:lang w:val="es-ES" w:bidi="en-US"/>
        </w:rPr>
        <w:t>y toda vez</w:t>
      </w:r>
      <w:r w:rsidRPr="00F955EE">
        <w:rPr>
          <w:rFonts w:eastAsia="MS Mincho"/>
          <w:lang w:val="es-ES" w:bidi="en-US"/>
        </w:rPr>
        <w:t xml:space="preserve"> que la Corte constató en el capítulo </w:t>
      </w:r>
      <w:r w:rsidR="006F4876" w:rsidRPr="00F955EE">
        <w:rPr>
          <w:rFonts w:eastAsia="MS Mincho"/>
          <w:lang w:val="es-ES" w:bidi="en-US"/>
        </w:rPr>
        <w:t>VI</w:t>
      </w:r>
      <w:r w:rsidRPr="00F955EE">
        <w:rPr>
          <w:rFonts w:eastAsia="MS Mincho"/>
          <w:lang w:val="es-ES" w:bidi="en-US"/>
        </w:rPr>
        <w:t xml:space="preserve"> de </w:t>
      </w:r>
      <w:r w:rsidR="006F4876" w:rsidRPr="00F955EE">
        <w:rPr>
          <w:rFonts w:eastAsia="MS Mincho"/>
          <w:lang w:val="es-ES" w:bidi="en-US"/>
        </w:rPr>
        <w:t>la presente</w:t>
      </w:r>
      <w:r w:rsidRPr="00F955EE">
        <w:rPr>
          <w:rFonts w:eastAsia="MS Mincho"/>
          <w:lang w:val="es-ES" w:bidi="en-US"/>
        </w:rPr>
        <w:t xml:space="preserve"> Sentencia </w:t>
      </w:r>
      <w:r w:rsidR="006F4876" w:rsidRPr="00F955EE">
        <w:rPr>
          <w:rFonts w:eastAsia="MS Mincho"/>
          <w:lang w:val="es-ES" w:bidi="en-US"/>
        </w:rPr>
        <w:t>que en los hechos del caso tuvo lugar un</w:t>
      </w:r>
      <w:r w:rsidRPr="00F955EE">
        <w:rPr>
          <w:rFonts w:eastAsia="MS Mincho"/>
          <w:lang w:val="es-ES" w:bidi="en-US"/>
        </w:rPr>
        <w:t xml:space="preserve"> uso excesivo de la fuerza por parte del Estado, este Tribunal considera pertinente ordenar al Estado la creación e implementación de un plan de capacitación d</w:t>
      </w:r>
      <w:r w:rsidR="00D67EAB" w:rsidRPr="00F955EE">
        <w:rPr>
          <w:rFonts w:eastAsia="MS Mincho"/>
          <w:lang w:val="es-ES" w:bidi="en-US"/>
        </w:rPr>
        <w:t>irigido a</w:t>
      </w:r>
      <w:r w:rsidRPr="00F955EE">
        <w:rPr>
          <w:rFonts w:eastAsia="MS Mincho"/>
          <w:lang w:val="es-ES" w:bidi="en-US"/>
        </w:rPr>
        <w:t xml:space="preserve"> </w:t>
      </w:r>
      <w:r w:rsidR="00932532" w:rsidRPr="00F955EE">
        <w:rPr>
          <w:rFonts w:eastAsia="MS Mincho"/>
          <w:lang w:val="es-ES" w:bidi="en-US"/>
        </w:rPr>
        <w:t>miembros</w:t>
      </w:r>
      <w:r w:rsidRPr="00F955EE">
        <w:rPr>
          <w:rFonts w:eastAsia="MS Mincho"/>
          <w:lang w:val="es-ES" w:bidi="en-US"/>
        </w:rPr>
        <w:t xml:space="preserve"> de la Policía Nacional </w:t>
      </w:r>
      <w:r w:rsidR="00B55B53" w:rsidRPr="00F955EE">
        <w:rPr>
          <w:rFonts w:eastAsia="MS Mincho"/>
          <w:lang w:val="es-ES" w:bidi="en-US"/>
        </w:rPr>
        <w:t xml:space="preserve">de Nicaragua </w:t>
      </w:r>
      <w:r w:rsidRPr="00F955EE">
        <w:rPr>
          <w:rFonts w:eastAsia="MS Mincho"/>
          <w:lang w:val="es-ES" w:bidi="en-US"/>
        </w:rPr>
        <w:t xml:space="preserve">y </w:t>
      </w:r>
      <w:r w:rsidR="00B55B53" w:rsidRPr="00F955EE">
        <w:rPr>
          <w:rFonts w:eastAsia="MS Mincho"/>
          <w:lang w:val="es-ES" w:bidi="en-US"/>
        </w:rPr>
        <w:t xml:space="preserve">del Ejército de Nicaragua </w:t>
      </w:r>
      <w:r w:rsidRPr="00F955EE">
        <w:rPr>
          <w:rFonts w:eastAsia="MS Mincho"/>
          <w:lang w:val="es-ES" w:bidi="en-US"/>
        </w:rPr>
        <w:t>sobre los estándares</w:t>
      </w:r>
      <w:r w:rsidR="00D67EAB" w:rsidRPr="00F955EE">
        <w:rPr>
          <w:rFonts w:eastAsia="MS Mincho"/>
          <w:lang w:val="es-ES" w:bidi="en-US"/>
        </w:rPr>
        <w:t xml:space="preserve"> internacionales</w:t>
      </w:r>
      <w:r w:rsidRPr="00F955EE">
        <w:rPr>
          <w:rFonts w:eastAsia="MS Mincho"/>
          <w:lang w:val="es-ES" w:bidi="en-US"/>
        </w:rPr>
        <w:t xml:space="preserve"> en materia de uso de la fuerza</w:t>
      </w:r>
      <w:r w:rsidR="005537A1" w:rsidRPr="00F955EE">
        <w:rPr>
          <w:rFonts w:eastAsia="MS Mincho"/>
          <w:lang w:val="es-ES" w:bidi="en-US"/>
        </w:rPr>
        <w:t>,</w:t>
      </w:r>
      <w:r w:rsidR="006F4876" w:rsidRPr="00F955EE">
        <w:rPr>
          <w:rFonts w:eastAsia="MS Mincho"/>
          <w:lang w:val="es-ES" w:bidi="en-US"/>
        </w:rPr>
        <w:t xml:space="preserve"> </w:t>
      </w:r>
      <w:r w:rsidR="005537A1" w:rsidRPr="00F955EE">
        <w:rPr>
          <w:rFonts w:eastAsia="MS Mincho"/>
          <w:lang w:val="es-ES" w:bidi="en-US"/>
        </w:rPr>
        <w:t xml:space="preserve">así como respecto a </w:t>
      </w:r>
      <w:r w:rsidR="005537A1" w:rsidRPr="00F955EE">
        <w:rPr>
          <w:rFonts w:eastAsia="MS Mincho"/>
          <w:lang w:val="es-AR" w:bidi="en-US"/>
        </w:rPr>
        <w:t>los estándares internacionales de protección de los derechos de las personas en contexto de movilidad</w:t>
      </w:r>
      <w:r w:rsidRPr="00F955EE">
        <w:rPr>
          <w:rFonts w:eastAsia="MS Mincho"/>
          <w:lang w:val="es-ES" w:bidi="en-US"/>
        </w:rPr>
        <w:t xml:space="preserve">. Este plan de capacitación debe ser incorporado en el curso de formación regular </w:t>
      </w:r>
      <w:r w:rsidR="005C560A" w:rsidRPr="00F955EE">
        <w:rPr>
          <w:rFonts w:eastAsia="MS Mincho"/>
          <w:lang w:val="es-ES" w:bidi="en-US"/>
        </w:rPr>
        <w:t>de dichos cuerpos</w:t>
      </w:r>
      <w:r w:rsidR="006D4185">
        <w:rPr>
          <w:rFonts w:eastAsia="MS Mincho"/>
          <w:lang w:val="es-ES" w:bidi="en-US"/>
        </w:rPr>
        <w:t xml:space="preserve"> en un plazo no superior a un año</w:t>
      </w:r>
      <w:r w:rsidR="008B3A3F" w:rsidRPr="00F955EE">
        <w:rPr>
          <w:rFonts w:eastAsia="MS Mincho"/>
          <w:lang w:val="es-ES" w:bidi="en-US"/>
        </w:rPr>
        <w:t>.</w:t>
      </w:r>
    </w:p>
    <w:p w14:paraId="265550AA" w14:textId="003BD987" w:rsidR="002D77E4" w:rsidRPr="00F955EE" w:rsidRDefault="00B95745" w:rsidP="002D77E4">
      <w:pPr>
        <w:pStyle w:val="Ttulo2"/>
        <w:rPr>
          <w:lang w:val="es-ES"/>
        </w:rPr>
      </w:pPr>
      <w:bookmarkStart w:id="94" w:name="_Toc514172669"/>
      <w:bookmarkStart w:id="95" w:name="_Toc476390741"/>
      <w:bookmarkStart w:id="96" w:name="_Toc495658701"/>
      <w:bookmarkStart w:id="97" w:name="_Toc15933778"/>
      <w:bookmarkStart w:id="98" w:name="_Toc33017902"/>
      <w:bookmarkStart w:id="99" w:name="_Toc43216173"/>
      <w:r w:rsidRPr="00F955EE">
        <w:rPr>
          <w:lang w:val="es-ES"/>
        </w:rPr>
        <w:t>F</w:t>
      </w:r>
      <w:r w:rsidR="002D77E4" w:rsidRPr="00F955EE">
        <w:rPr>
          <w:lang w:val="es-ES"/>
        </w:rPr>
        <w:t>. Indemnizaciones compensatorias</w:t>
      </w:r>
      <w:bookmarkEnd w:id="94"/>
      <w:bookmarkEnd w:id="95"/>
      <w:bookmarkEnd w:id="96"/>
      <w:bookmarkEnd w:id="97"/>
      <w:bookmarkEnd w:id="98"/>
      <w:bookmarkEnd w:id="99"/>
    </w:p>
    <w:p w14:paraId="32045B0E" w14:textId="583AC7A5" w:rsidR="002D77E4" w:rsidRPr="00F955EE" w:rsidRDefault="00B95745" w:rsidP="002D77E4">
      <w:pPr>
        <w:pStyle w:val="Ttulo3"/>
        <w:rPr>
          <w:lang w:val="es-ES"/>
        </w:rPr>
      </w:pPr>
      <w:bookmarkStart w:id="100" w:name="_Toc514172670"/>
      <w:bookmarkStart w:id="101" w:name="_Toc476390742"/>
      <w:bookmarkStart w:id="102" w:name="_Toc495658702"/>
      <w:bookmarkStart w:id="103" w:name="_Toc15064203"/>
      <w:bookmarkStart w:id="104" w:name="_Toc15933779"/>
      <w:bookmarkStart w:id="105" w:name="_Toc33017903"/>
      <w:bookmarkStart w:id="106" w:name="_Toc43216174"/>
      <w:r w:rsidRPr="00F955EE">
        <w:rPr>
          <w:lang w:val="es-ES"/>
        </w:rPr>
        <w:t>f</w:t>
      </w:r>
      <w:r w:rsidR="002D77E4" w:rsidRPr="00F955EE">
        <w:rPr>
          <w:lang w:val="es-ES"/>
        </w:rPr>
        <w:t>.1</w:t>
      </w:r>
      <w:r w:rsidR="002D77E4" w:rsidRPr="00F955EE">
        <w:rPr>
          <w:lang w:val="es-ES"/>
        </w:rPr>
        <w:tab/>
        <w:t>Daño material</w:t>
      </w:r>
      <w:bookmarkEnd w:id="100"/>
      <w:bookmarkEnd w:id="101"/>
      <w:bookmarkEnd w:id="102"/>
      <w:bookmarkEnd w:id="103"/>
      <w:bookmarkEnd w:id="104"/>
      <w:bookmarkEnd w:id="105"/>
      <w:bookmarkEnd w:id="106"/>
    </w:p>
    <w:p w14:paraId="6C2604FF" w14:textId="77777777" w:rsidR="002D77E4" w:rsidRPr="00F955EE" w:rsidRDefault="002D77E4" w:rsidP="004F0770">
      <w:pPr>
        <w:numPr>
          <w:ilvl w:val="0"/>
          <w:numId w:val="4"/>
        </w:numPr>
        <w:tabs>
          <w:tab w:val="left" w:pos="567"/>
        </w:tabs>
        <w:ind w:left="0" w:firstLine="0"/>
        <w:textAlignment w:val="auto"/>
        <w:rPr>
          <w:rFonts w:eastAsia="MS Mincho"/>
          <w:bCs/>
          <w:lang w:val="es-ES" w:bidi="en-US"/>
        </w:rPr>
      </w:pPr>
      <w:r w:rsidRPr="00F955EE">
        <w:rPr>
          <w:rFonts w:cs="Verdana"/>
          <w:bCs/>
          <w:iCs/>
          <w:lang w:val="es-ES"/>
        </w:rPr>
        <w:t xml:space="preserve">La </w:t>
      </w:r>
      <w:r w:rsidRPr="00F955EE">
        <w:rPr>
          <w:rFonts w:eastAsia="Batang" w:cs="Verdana"/>
          <w:bCs/>
          <w:iCs/>
          <w:lang w:val="es-ES"/>
        </w:rPr>
        <w:t>Corte</w:t>
      </w:r>
      <w:r w:rsidRPr="00F955EE">
        <w:rPr>
          <w:rFonts w:cs="Verdana"/>
          <w:bCs/>
          <w:i/>
          <w:iCs/>
          <w:lang w:val="es-ES"/>
        </w:rPr>
        <w:t xml:space="preserve"> </w:t>
      </w:r>
      <w:r w:rsidRPr="00F955EE">
        <w:rPr>
          <w:rFonts w:cs="Verdana"/>
          <w:bCs/>
          <w:iCs/>
          <w:lang w:val="es-ES"/>
        </w:rPr>
        <w:t>ha desarrollado en su jurisprudencia el concepto de daño material y ha establecido que éste supone la pérdida o detrimento de los ingresos de las víctimas, los gastos efectuados con motivo de los hechos y las consecuencias de carácter pecuniario que tengan un nexo causal con los hechos del caso</w:t>
      </w:r>
      <w:r w:rsidRPr="00F955EE">
        <w:rPr>
          <w:rFonts w:eastAsia="MS Mincho"/>
          <w:bCs/>
          <w:vertAlign w:val="superscript"/>
          <w:lang w:val="es-ES" w:bidi="en-US"/>
        </w:rPr>
        <w:footnoteReference w:id="144"/>
      </w:r>
      <w:r w:rsidRPr="00F955EE">
        <w:rPr>
          <w:rFonts w:cs="Verdana"/>
          <w:bCs/>
          <w:iCs/>
          <w:lang w:val="es-ES"/>
        </w:rPr>
        <w:t>.</w:t>
      </w:r>
    </w:p>
    <w:p w14:paraId="099A8D79" w14:textId="77777777" w:rsidR="002D77E4" w:rsidRPr="00F955EE" w:rsidRDefault="002D77E4" w:rsidP="002D77E4">
      <w:pPr>
        <w:tabs>
          <w:tab w:val="left" w:pos="567"/>
        </w:tabs>
        <w:textAlignment w:val="auto"/>
        <w:rPr>
          <w:rFonts w:eastAsia="MS Mincho"/>
          <w:bCs/>
          <w:lang w:val="es-ES" w:bidi="en-US"/>
        </w:rPr>
      </w:pPr>
    </w:p>
    <w:p w14:paraId="0931FE8D" w14:textId="696AECA2" w:rsidR="002D77E4" w:rsidRPr="00F955EE" w:rsidRDefault="002D77E4" w:rsidP="004F0770">
      <w:pPr>
        <w:numPr>
          <w:ilvl w:val="0"/>
          <w:numId w:val="4"/>
        </w:numPr>
        <w:tabs>
          <w:tab w:val="left" w:pos="567"/>
        </w:tabs>
        <w:ind w:left="0" w:firstLine="0"/>
        <w:textAlignment w:val="auto"/>
        <w:rPr>
          <w:rFonts w:eastAsia="MS Mincho"/>
          <w:bCs/>
          <w:lang w:val="es-ES" w:bidi="en-US"/>
        </w:rPr>
      </w:pPr>
      <w:r w:rsidRPr="00F955EE">
        <w:rPr>
          <w:rFonts w:eastAsia="MS Mincho"/>
          <w:bCs/>
          <w:lang w:val="es-ES" w:bidi="en-US"/>
        </w:rPr>
        <w:t xml:space="preserve">De manera general, la </w:t>
      </w:r>
      <w:r w:rsidRPr="00F955EE">
        <w:rPr>
          <w:rFonts w:eastAsia="MS Mincho"/>
          <w:b/>
          <w:bCs/>
          <w:i/>
          <w:lang w:val="es-ES" w:bidi="en-US"/>
        </w:rPr>
        <w:t>Comisión</w:t>
      </w:r>
      <w:r w:rsidRPr="00F955EE">
        <w:rPr>
          <w:rFonts w:eastAsia="MS Mincho"/>
          <w:bCs/>
          <w:lang w:val="es-ES" w:bidi="en-US"/>
        </w:rPr>
        <w:t xml:space="preserve"> solicitó que el Estado repare integralmente las violaciones de derechos humanos declaradas en su informe</w:t>
      </w:r>
      <w:r w:rsidR="00734755">
        <w:rPr>
          <w:rFonts w:eastAsia="MS Mincho"/>
          <w:bCs/>
          <w:lang w:val="es-ES" w:bidi="en-US"/>
        </w:rPr>
        <w:t>,</w:t>
      </w:r>
      <w:r w:rsidRPr="00F955EE">
        <w:rPr>
          <w:rFonts w:eastAsia="MS Mincho"/>
          <w:bCs/>
          <w:lang w:val="es-ES" w:bidi="en-US"/>
        </w:rPr>
        <w:t xml:space="preserve"> </w:t>
      </w:r>
      <w:r w:rsidR="003C3752" w:rsidRPr="00F955EE">
        <w:rPr>
          <w:rFonts w:eastAsia="MS Mincho"/>
          <w:bCs/>
          <w:lang w:val="es-ES" w:bidi="en-US"/>
        </w:rPr>
        <w:t xml:space="preserve">tanto </w:t>
      </w:r>
      <w:r w:rsidRPr="00F955EE">
        <w:rPr>
          <w:rFonts w:eastAsia="MS Mincho"/>
          <w:bCs/>
          <w:lang w:val="es-ES" w:bidi="en-US"/>
        </w:rPr>
        <w:t>en el aspecto material</w:t>
      </w:r>
      <w:r w:rsidR="003C3752" w:rsidRPr="00F955EE">
        <w:rPr>
          <w:rFonts w:eastAsia="MS Mincho"/>
          <w:bCs/>
          <w:lang w:val="es-ES" w:bidi="en-US"/>
        </w:rPr>
        <w:t xml:space="preserve"> como inmaterial,</w:t>
      </w:r>
      <w:r w:rsidRPr="00F955EE">
        <w:rPr>
          <w:rFonts w:eastAsia="MS Mincho"/>
          <w:bCs/>
          <w:lang w:val="es-ES" w:bidi="en-US"/>
        </w:rPr>
        <w:t xml:space="preserve"> adoptando </w:t>
      </w:r>
      <w:r w:rsidR="003C3752" w:rsidRPr="00F955EE">
        <w:rPr>
          <w:rFonts w:eastAsia="MS Mincho"/>
          <w:bCs/>
          <w:lang w:val="es-ES" w:bidi="en-US"/>
        </w:rPr>
        <w:t xml:space="preserve">para ello </w:t>
      </w:r>
      <w:r w:rsidRPr="00F955EE">
        <w:rPr>
          <w:rFonts w:eastAsia="MS Mincho"/>
          <w:bCs/>
          <w:lang w:val="es-ES" w:bidi="en-US"/>
        </w:rPr>
        <w:t xml:space="preserve">medidas de compensación económica a favor del señor Patricio Roche Azaña y de sus padres. </w:t>
      </w:r>
    </w:p>
    <w:p w14:paraId="5DFF2569" w14:textId="77777777" w:rsidR="002D77E4" w:rsidRPr="00F955EE" w:rsidRDefault="002D77E4" w:rsidP="002D77E4">
      <w:pPr>
        <w:tabs>
          <w:tab w:val="left" w:pos="567"/>
        </w:tabs>
        <w:textAlignment w:val="auto"/>
        <w:rPr>
          <w:rFonts w:eastAsia="MS Mincho"/>
          <w:bCs/>
          <w:lang w:val="es-ES" w:bidi="en-US"/>
        </w:rPr>
      </w:pPr>
    </w:p>
    <w:p w14:paraId="204B2435" w14:textId="07059007" w:rsidR="002D77E4" w:rsidRPr="00F955EE" w:rsidRDefault="002D77E4" w:rsidP="004F0770">
      <w:pPr>
        <w:numPr>
          <w:ilvl w:val="0"/>
          <w:numId w:val="4"/>
        </w:numPr>
        <w:tabs>
          <w:tab w:val="left" w:pos="567"/>
        </w:tabs>
        <w:ind w:left="0" w:firstLine="0"/>
        <w:textAlignment w:val="auto"/>
        <w:rPr>
          <w:rFonts w:cs="Arial"/>
          <w:b/>
          <w:lang w:val="es-ES"/>
        </w:rPr>
      </w:pPr>
      <w:r w:rsidRPr="00F955EE">
        <w:rPr>
          <w:rFonts w:eastAsia="Verdana" w:cs="Verdana"/>
          <w:lang w:val="es-ES"/>
        </w:rPr>
        <w:t xml:space="preserve">El </w:t>
      </w:r>
      <w:r w:rsidRPr="00F955EE">
        <w:rPr>
          <w:rFonts w:eastAsia="Verdana" w:cs="Verdana"/>
          <w:b/>
          <w:i/>
          <w:lang w:val="es-ES"/>
        </w:rPr>
        <w:t xml:space="preserve">representante </w:t>
      </w:r>
      <w:r w:rsidRPr="00F955EE">
        <w:rPr>
          <w:rFonts w:eastAsia="Verdana" w:cs="Verdana"/>
          <w:lang w:val="es-ES"/>
        </w:rPr>
        <w:t xml:space="preserve">coincidió con lo solicitado por la Comisión. </w:t>
      </w:r>
      <w:r w:rsidR="00C86BDF" w:rsidRPr="00F955EE">
        <w:rPr>
          <w:rFonts w:eastAsia="MS Mincho"/>
          <w:lang w:val="es-ES" w:bidi="en-US"/>
        </w:rPr>
        <w:t xml:space="preserve">Además, ofreció un peritaje realizado por la perito </w:t>
      </w:r>
      <w:r w:rsidR="009E4769" w:rsidRPr="00F955EE">
        <w:rPr>
          <w:rFonts w:eastAsia="MS Mincho"/>
          <w:lang w:val="es-ES" w:bidi="en-US"/>
        </w:rPr>
        <w:t xml:space="preserve">judicial y arquitecta </w:t>
      </w:r>
      <w:r w:rsidR="00C86BDF" w:rsidRPr="00F955EE">
        <w:rPr>
          <w:rFonts w:eastAsia="MS Mincho"/>
          <w:lang w:val="es-ES" w:bidi="en-US"/>
        </w:rPr>
        <w:t xml:space="preserve">Ximena del Carmen Paredes Pacheco con el objetivo de respaldar sus solicitudes con respecto al </w:t>
      </w:r>
      <w:r w:rsidR="00C86BDF" w:rsidRPr="00F955EE">
        <w:rPr>
          <w:rFonts w:eastAsia="Verdana" w:cs="Verdana"/>
          <w:lang w:val="es-ES"/>
        </w:rPr>
        <w:t>daño</w:t>
      </w:r>
      <w:r w:rsidR="00C86BDF" w:rsidRPr="00F955EE">
        <w:rPr>
          <w:rFonts w:eastAsia="MS Mincho"/>
          <w:lang w:val="es-ES" w:bidi="en-US"/>
        </w:rPr>
        <w:t xml:space="preserve"> material. En particular, dicho peritaje versó sobre el cálculo del daño emergente y el lucro cesante ocasionado por los hechos del presente caso</w:t>
      </w:r>
      <w:r w:rsidR="009E4769" w:rsidRPr="00F955EE">
        <w:rPr>
          <w:rFonts w:eastAsia="MS Mincho"/>
          <w:lang w:val="es-ES" w:bidi="en-US"/>
        </w:rPr>
        <w:t>, así como del daño inmaterial</w:t>
      </w:r>
      <w:r w:rsidR="00C86BDF" w:rsidRPr="00F955EE">
        <w:rPr>
          <w:rFonts w:eastAsia="MS Mincho"/>
          <w:lang w:val="es-ES" w:bidi="en-US"/>
        </w:rPr>
        <w:t>.</w:t>
      </w:r>
    </w:p>
    <w:p w14:paraId="7DB8D0C7" w14:textId="5EA2C4A0" w:rsidR="002D77E4" w:rsidRPr="00F955EE" w:rsidRDefault="002D77E4" w:rsidP="002D77E4">
      <w:pPr>
        <w:tabs>
          <w:tab w:val="left" w:pos="567"/>
        </w:tabs>
        <w:textAlignment w:val="auto"/>
        <w:rPr>
          <w:rFonts w:cs="Arial"/>
          <w:lang w:val="es-ES"/>
        </w:rPr>
      </w:pPr>
    </w:p>
    <w:p w14:paraId="362E6618" w14:textId="07B6E5B3" w:rsidR="002D77E4" w:rsidRPr="00F955EE" w:rsidRDefault="002D77E4" w:rsidP="004F0770">
      <w:pPr>
        <w:numPr>
          <w:ilvl w:val="0"/>
          <w:numId w:val="4"/>
        </w:numPr>
        <w:tabs>
          <w:tab w:val="left" w:pos="567"/>
        </w:tabs>
        <w:ind w:left="0" w:firstLine="0"/>
        <w:textAlignment w:val="auto"/>
        <w:rPr>
          <w:rFonts w:eastAsia="MS Mincho"/>
          <w:lang w:val="es-ES" w:bidi="en-US"/>
        </w:rPr>
      </w:pPr>
      <w:r w:rsidRPr="00F955EE">
        <w:rPr>
          <w:rFonts w:eastAsia="MS Mincho"/>
          <w:lang w:val="es-ES" w:bidi="en-US"/>
        </w:rPr>
        <w:t xml:space="preserve">El </w:t>
      </w:r>
      <w:r w:rsidRPr="00F955EE">
        <w:rPr>
          <w:rFonts w:eastAsia="MS Mincho"/>
          <w:b/>
          <w:i/>
          <w:lang w:val="es-ES" w:bidi="en-US"/>
        </w:rPr>
        <w:t xml:space="preserve">Estado </w:t>
      </w:r>
      <w:r w:rsidRPr="00F955EE">
        <w:rPr>
          <w:rFonts w:eastAsia="MS Mincho"/>
          <w:lang w:val="es-ES" w:bidi="en-US"/>
        </w:rPr>
        <w:t xml:space="preserve">solicitó que se desestimara conceder la propuesta realizada por la Comisión. Asimismo, resaltó que </w:t>
      </w:r>
      <w:r w:rsidR="006F4876" w:rsidRPr="00F955EE">
        <w:rPr>
          <w:rFonts w:eastAsia="MS Mincho"/>
          <w:lang w:val="es-ES" w:bidi="en-US"/>
        </w:rPr>
        <w:t xml:space="preserve">en </w:t>
      </w:r>
      <w:r w:rsidRPr="00F955EE">
        <w:rPr>
          <w:rFonts w:eastAsia="MS Mincho"/>
          <w:lang w:val="es-ES" w:bidi="en-US"/>
        </w:rPr>
        <w:t>ocasiones anteriores la Corte se ha abstenido de decretar medidas de compensación por daños materiales, cuando los mismos no han sido suficientemente acreditado</w:t>
      </w:r>
      <w:r w:rsidR="00734755">
        <w:rPr>
          <w:rFonts w:eastAsia="MS Mincho"/>
          <w:lang w:val="es-ES" w:bidi="en-US"/>
        </w:rPr>
        <w:t>. S</w:t>
      </w:r>
      <w:r w:rsidRPr="00F955EE">
        <w:rPr>
          <w:rFonts w:eastAsia="MS Mincho"/>
          <w:lang w:val="es-ES" w:bidi="en-US"/>
        </w:rPr>
        <w:t>egún indic</w:t>
      </w:r>
      <w:r w:rsidR="00734755">
        <w:rPr>
          <w:rFonts w:eastAsia="MS Mincho"/>
          <w:lang w:val="es-ES" w:bidi="en-US"/>
        </w:rPr>
        <w:t>ó</w:t>
      </w:r>
      <w:r w:rsidRPr="00F955EE">
        <w:rPr>
          <w:rFonts w:eastAsia="MS Mincho"/>
          <w:lang w:val="es-ES" w:bidi="en-US"/>
        </w:rPr>
        <w:t xml:space="preserve">, </w:t>
      </w:r>
      <w:r w:rsidR="00734755">
        <w:rPr>
          <w:rFonts w:eastAsia="MS Mincho"/>
          <w:lang w:val="es-ES" w:bidi="en-US"/>
        </w:rPr>
        <w:t xml:space="preserve">ello </w:t>
      </w:r>
      <w:r w:rsidRPr="00F955EE">
        <w:rPr>
          <w:rFonts w:eastAsia="MS Mincho"/>
          <w:lang w:val="es-ES" w:bidi="en-US"/>
        </w:rPr>
        <w:t>sucede</w:t>
      </w:r>
      <w:r w:rsidR="00734755">
        <w:rPr>
          <w:rFonts w:eastAsia="MS Mincho"/>
          <w:lang w:val="es-ES" w:bidi="en-US"/>
        </w:rPr>
        <w:t>ría</w:t>
      </w:r>
      <w:r w:rsidRPr="00F955EE">
        <w:rPr>
          <w:rFonts w:eastAsia="MS Mincho"/>
          <w:lang w:val="es-ES" w:bidi="en-US"/>
        </w:rPr>
        <w:t xml:space="preserve"> en este caso en donde no se presentaron los documentos pertinentes que respalden el daño referido por la Comisión, razón por la cual afirm</w:t>
      </w:r>
      <w:r w:rsidR="00FB75A8">
        <w:rPr>
          <w:rFonts w:eastAsia="MS Mincho"/>
          <w:lang w:val="es-ES" w:bidi="en-US"/>
        </w:rPr>
        <w:t>ó</w:t>
      </w:r>
      <w:r w:rsidRPr="00F955EE">
        <w:rPr>
          <w:rFonts w:eastAsia="MS Mincho"/>
          <w:lang w:val="es-ES" w:bidi="en-US"/>
        </w:rPr>
        <w:t xml:space="preserve"> que no aplica el pago por este rubro y manifestó su oposición total a las compensaciones económicas en el aspecto material. </w:t>
      </w:r>
      <w:r w:rsidR="00C86BDF" w:rsidRPr="00F955EE">
        <w:rPr>
          <w:rFonts w:eastAsia="MS Mincho"/>
          <w:lang w:val="es-ES" w:bidi="en-US"/>
        </w:rPr>
        <w:t xml:space="preserve">En sus alegatos finales escritos, el Estado señaló, con respecto al peritaje remitido por el representante y los cálculos realizados por la pérdida de tres propiedades a raíz del </w:t>
      </w:r>
      <w:r w:rsidR="009E4769" w:rsidRPr="00F955EE">
        <w:rPr>
          <w:rFonts w:eastAsia="MS Mincho"/>
          <w:lang w:val="es-ES" w:bidi="en-US"/>
        </w:rPr>
        <w:t xml:space="preserve">embargo y </w:t>
      </w:r>
      <w:r w:rsidR="00C86BDF" w:rsidRPr="00F955EE">
        <w:rPr>
          <w:rFonts w:eastAsia="MS Mincho"/>
          <w:lang w:val="es-ES" w:bidi="en-US"/>
        </w:rPr>
        <w:t xml:space="preserve">remate de las mismas, </w:t>
      </w:r>
      <w:r w:rsidR="009E4769" w:rsidRPr="00F955EE">
        <w:rPr>
          <w:rFonts w:eastAsia="MS Mincho"/>
          <w:lang w:val="es-ES" w:bidi="en-US"/>
        </w:rPr>
        <w:t>que el referido remate</w:t>
      </w:r>
      <w:r w:rsidR="00C86BDF" w:rsidRPr="00F955EE">
        <w:rPr>
          <w:rFonts w:eastAsia="MS Mincho"/>
          <w:lang w:val="es-ES" w:bidi="en-US"/>
        </w:rPr>
        <w:t xml:space="preserve"> no fue derivado de los hechos denunciados, ya que el estado de insolvencia en que incurrieron fue previo a los sucesos del 14 de abril de 1996.</w:t>
      </w:r>
    </w:p>
    <w:p w14:paraId="2D0F6DAD" w14:textId="77777777" w:rsidR="002D77E4" w:rsidRPr="00F955EE" w:rsidRDefault="002D77E4" w:rsidP="002D77E4">
      <w:pPr>
        <w:tabs>
          <w:tab w:val="left" w:pos="567"/>
        </w:tabs>
        <w:textAlignment w:val="auto"/>
        <w:rPr>
          <w:rFonts w:eastAsia="MS Mincho"/>
          <w:lang w:val="es-ES" w:bidi="en-US"/>
        </w:rPr>
      </w:pPr>
    </w:p>
    <w:p w14:paraId="43EF6036" w14:textId="36EDE628" w:rsidR="002D77E4" w:rsidRPr="00F955EE" w:rsidRDefault="002D77E4" w:rsidP="004F0770">
      <w:pPr>
        <w:numPr>
          <w:ilvl w:val="0"/>
          <w:numId w:val="4"/>
        </w:numPr>
        <w:tabs>
          <w:tab w:val="left" w:pos="567"/>
        </w:tabs>
        <w:ind w:left="0" w:firstLine="0"/>
        <w:textAlignment w:val="auto"/>
        <w:rPr>
          <w:rFonts w:eastAsia="MS Mincho"/>
          <w:lang w:val="es-ES" w:bidi="en-US"/>
        </w:rPr>
      </w:pPr>
      <w:r w:rsidRPr="00F955EE">
        <w:rPr>
          <w:rFonts w:cs="Arial"/>
          <w:lang w:val="es-ES"/>
        </w:rPr>
        <w:t xml:space="preserve">La </w:t>
      </w:r>
      <w:r w:rsidRPr="00F955EE">
        <w:rPr>
          <w:rFonts w:cs="Arial"/>
          <w:b/>
          <w:i/>
          <w:lang w:val="es-ES"/>
        </w:rPr>
        <w:t>Corte</w:t>
      </w:r>
      <w:r w:rsidRPr="00F955EE">
        <w:rPr>
          <w:rFonts w:cs="Arial"/>
          <w:lang w:val="es-ES"/>
        </w:rPr>
        <w:t xml:space="preserve"> ha desarrollado en su jurisprudencia el concepto de daño material y los supuestos en que corresponde indemnizarlo. Este Tribunal ha establecido que el daño material abarca la pérdida o detrimento de los ingresos de las víctimas, los gastos efectuados con motivo de los hechos y las consecuencias de carácter pecuniario que tengan un nexo causal con los hechos del caso</w:t>
      </w:r>
      <w:r w:rsidRPr="00F955EE">
        <w:rPr>
          <w:rStyle w:val="Refdenotaalpie"/>
          <w:rFonts w:cs="Arial"/>
          <w:lang w:val="es-ES"/>
        </w:rPr>
        <w:footnoteReference w:id="145"/>
      </w:r>
      <w:r w:rsidRPr="00F955EE">
        <w:rPr>
          <w:rFonts w:cs="Arial"/>
          <w:lang w:val="es-ES"/>
        </w:rPr>
        <w:t xml:space="preserve">. </w:t>
      </w:r>
    </w:p>
    <w:p w14:paraId="514AD3B4" w14:textId="77777777" w:rsidR="002D77E4" w:rsidRPr="00F955EE" w:rsidRDefault="002D77E4" w:rsidP="002D77E4">
      <w:pPr>
        <w:tabs>
          <w:tab w:val="left" w:pos="567"/>
        </w:tabs>
        <w:textAlignment w:val="auto"/>
        <w:rPr>
          <w:rFonts w:eastAsia="MS Mincho"/>
          <w:lang w:val="es-ES" w:bidi="en-US"/>
        </w:rPr>
      </w:pPr>
    </w:p>
    <w:p w14:paraId="2B89C453" w14:textId="7164B954" w:rsidR="009E4769" w:rsidRPr="00F955EE" w:rsidRDefault="00BF1D25" w:rsidP="004F0770">
      <w:pPr>
        <w:numPr>
          <w:ilvl w:val="0"/>
          <w:numId w:val="4"/>
        </w:numPr>
        <w:tabs>
          <w:tab w:val="left" w:pos="567"/>
        </w:tabs>
        <w:ind w:left="0" w:firstLine="0"/>
        <w:textAlignment w:val="auto"/>
        <w:rPr>
          <w:rFonts w:eastAsia="Verdana" w:cs="Verdana"/>
          <w:color w:val="000000" w:themeColor="text1"/>
          <w:lang w:val="es-ES"/>
        </w:rPr>
      </w:pPr>
      <w:r w:rsidRPr="00F955EE">
        <w:rPr>
          <w:rFonts w:eastAsia="Verdana" w:cs="Verdana"/>
          <w:color w:val="000000" w:themeColor="text1"/>
          <w:lang w:val="es-ES"/>
        </w:rPr>
        <w:t>Con respecto al daño emergente solic</w:t>
      </w:r>
      <w:r w:rsidR="00C6010A" w:rsidRPr="00F955EE">
        <w:rPr>
          <w:rFonts w:eastAsia="Verdana" w:cs="Verdana"/>
          <w:color w:val="000000" w:themeColor="text1"/>
          <w:lang w:val="es-ES"/>
        </w:rPr>
        <w:t>i</w:t>
      </w:r>
      <w:r w:rsidRPr="00F955EE">
        <w:rPr>
          <w:rFonts w:eastAsia="Verdana" w:cs="Verdana"/>
          <w:color w:val="000000" w:themeColor="text1"/>
          <w:lang w:val="es-ES"/>
        </w:rPr>
        <w:t>tado</w:t>
      </w:r>
      <w:r w:rsidR="00C659C3" w:rsidRPr="00F955EE">
        <w:rPr>
          <w:rFonts w:eastAsia="Verdana" w:cs="Verdana"/>
          <w:color w:val="000000" w:themeColor="text1"/>
          <w:lang w:val="es-ES"/>
        </w:rPr>
        <w:t>, t</w:t>
      </w:r>
      <w:r w:rsidR="009E4769" w:rsidRPr="00F955EE">
        <w:rPr>
          <w:rFonts w:eastAsia="Verdana" w:cs="Verdana"/>
          <w:color w:val="000000" w:themeColor="text1"/>
          <w:lang w:val="es-ES"/>
        </w:rPr>
        <w:t>ras analizar los alega</w:t>
      </w:r>
      <w:r w:rsidRPr="00F955EE">
        <w:rPr>
          <w:rFonts w:eastAsia="Verdana" w:cs="Verdana"/>
          <w:color w:val="000000" w:themeColor="text1"/>
          <w:lang w:val="es-ES"/>
        </w:rPr>
        <w:t>t</w:t>
      </w:r>
      <w:r w:rsidR="009E4769" w:rsidRPr="00F955EE">
        <w:rPr>
          <w:rFonts w:eastAsia="Verdana" w:cs="Verdana"/>
          <w:color w:val="000000" w:themeColor="text1"/>
          <w:lang w:val="es-ES"/>
        </w:rPr>
        <w:t>os y e</w:t>
      </w:r>
      <w:r w:rsidR="00287F90" w:rsidRPr="00F955EE">
        <w:rPr>
          <w:rFonts w:eastAsia="Verdana" w:cs="Verdana"/>
          <w:color w:val="000000" w:themeColor="text1"/>
          <w:lang w:val="es-ES"/>
        </w:rPr>
        <w:t xml:space="preserve">l informe </w:t>
      </w:r>
      <w:r w:rsidR="009E4769" w:rsidRPr="00F955EE">
        <w:rPr>
          <w:rFonts w:eastAsia="Verdana" w:cs="Verdana"/>
          <w:color w:val="000000" w:themeColor="text1"/>
          <w:lang w:val="es-ES"/>
        </w:rPr>
        <w:t>presentado por el representante</w:t>
      </w:r>
      <w:r w:rsidR="00287F90" w:rsidRPr="00F955EE">
        <w:rPr>
          <w:rFonts w:eastAsia="Verdana" w:cs="Verdana"/>
          <w:color w:val="000000" w:themeColor="text1"/>
          <w:lang w:val="es-ES"/>
        </w:rPr>
        <w:t xml:space="preserve">, </w:t>
      </w:r>
      <w:r w:rsidR="009E4769" w:rsidRPr="00F955EE">
        <w:rPr>
          <w:rFonts w:eastAsia="Verdana" w:cs="Verdana"/>
          <w:color w:val="000000" w:themeColor="text1"/>
          <w:lang w:val="es-ES"/>
        </w:rPr>
        <w:t xml:space="preserve">la Corte observa que </w:t>
      </w:r>
      <w:r w:rsidR="00BB57BF" w:rsidRPr="00F955EE">
        <w:rPr>
          <w:rFonts w:eastAsia="Verdana" w:cs="Verdana"/>
          <w:color w:val="000000" w:themeColor="text1"/>
          <w:lang w:val="es-ES"/>
        </w:rPr>
        <w:t xml:space="preserve">no encuentra elementos suficientes para determinar un nexo causal entre </w:t>
      </w:r>
      <w:r w:rsidR="009E4769" w:rsidRPr="00F955EE">
        <w:rPr>
          <w:rFonts w:eastAsia="Verdana" w:cs="Verdana"/>
          <w:color w:val="000000" w:themeColor="text1"/>
          <w:lang w:val="es-ES"/>
        </w:rPr>
        <w:t xml:space="preserve">los embargos realizados a las propiedades de la familia Roche Azaña </w:t>
      </w:r>
      <w:r w:rsidR="00BB57BF" w:rsidRPr="00F955EE">
        <w:rPr>
          <w:rFonts w:eastAsia="Verdana" w:cs="Verdana"/>
          <w:color w:val="000000" w:themeColor="text1"/>
          <w:lang w:val="es-ES"/>
        </w:rPr>
        <w:t xml:space="preserve">y el daño causado por las violaciones declaradas en la presente Sentencia, toda vez que dichos embargos </w:t>
      </w:r>
      <w:r w:rsidR="009E4769" w:rsidRPr="00F955EE">
        <w:rPr>
          <w:rFonts w:eastAsia="Verdana" w:cs="Verdana"/>
          <w:color w:val="000000" w:themeColor="text1"/>
          <w:lang w:val="es-ES"/>
        </w:rPr>
        <w:t xml:space="preserve">se realizaron con anterioridad a los hechos del presente caso, por lo que </w:t>
      </w:r>
      <w:r w:rsidR="00287F90" w:rsidRPr="00F955EE">
        <w:rPr>
          <w:rFonts w:eastAsia="Verdana" w:cs="Verdana"/>
          <w:color w:val="000000" w:themeColor="text1"/>
          <w:lang w:val="es-ES"/>
        </w:rPr>
        <w:t>no resultan válidos para la determinación de la indemnización por daño material.</w:t>
      </w:r>
      <w:r w:rsidR="00C659C3" w:rsidRPr="00F955EE">
        <w:rPr>
          <w:rFonts w:eastAsia="Verdana" w:cs="Verdana"/>
          <w:color w:val="000000" w:themeColor="text1"/>
          <w:lang w:val="es-ES"/>
        </w:rPr>
        <w:t xml:space="preserve"> </w:t>
      </w:r>
      <w:r w:rsidR="009E4769" w:rsidRPr="00F955EE">
        <w:rPr>
          <w:rFonts w:eastAsia="Verdana" w:cs="Verdana"/>
          <w:lang w:val="es-ES"/>
        </w:rPr>
        <w:t>No obstante lo anterior, la Corte considera que las violaciones acreditadas en la presenta Sentencia representaron gastos económicos a las víctimas. En consecuencia, el Tribunal estima que el Estado debe entregar, en equidad</w:t>
      </w:r>
      <w:r w:rsidR="00B82619" w:rsidRPr="00F955EE">
        <w:rPr>
          <w:rFonts w:eastAsia="Verdana" w:cs="Verdana"/>
          <w:lang w:val="es-ES"/>
        </w:rPr>
        <w:t xml:space="preserve"> y respectivamente</w:t>
      </w:r>
      <w:r w:rsidR="009E4769" w:rsidRPr="00F955EE">
        <w:rPr>
          <w:rFonts w:eastAsia="Verdana" w:cs="Verdana"/>
          <w:lang w:val="es-ES"/>
        </w:rPr>
        <w:t xml:space="preserve">, la suma de USD$ </w:t>
      </w:r>
      <w:r w:rsidR="00FB7E54" w:rsidRPr="00F955EE">
        <w:rPr>
          <w:rFonts w:eastAsia="Verdana" w:cs="Verdana"/>
          <w:lang w:val="es-ES"/>
        </w:rPr>
        <w:t>5</w:t>
      </w:r>
      <w:r w:rsidR="00DD4AE9" w:rsidRPr="00F955EE">
        <w:rPr>
          <w:rFonts w:eastAsia="Verdana" w:cs="Verdana"/>
          <w:lang w:val="es-ES"/>
        </w:rPr>
        <w:t>,</w:t>
      </w:r>
      <w:r w:rsidR="00FB7E54" w:rsidRPr="00F955EE">
        <w:rPr>
          <w:rFonts w:eastAsia="Verdana" w:cs="Verdana"/>
          <w:lang w:val="es-ES"/>
        </w:rPr>
        <w:t>000</w:t>
      </w:r>
      <w:r w:rsidR="009E4769" w:rsidRPr="00F955EE">
        <w:rPr>
          <w:rFonts w:eastAsia="Verdana" w:cs="Verdana"/>
          <w:lang w:val="es-ES"/>
        </w:rPr>
        <w:t xml:space="preserve"> (</w:t>
      </w:r>
      <w:r w:rsidR="00FB7E54" w:rsidRPr="00F955EE">
        <w:rPr>
          <w:rFonts w:eastAsia="Verdana" w:cs="Verdana"/>
          <w:lang w:val="es-ES"/>
        </w:rPr>
        <w:t xml:space="preserve">cinco mil </w:t>
      </w:r>
      <w:r w:rsidR="009E4769" w:rsidRPr="00F955EE">
        <w:rPr>
          <w:rFonts w:eastAsia="Verdana" w:cs="Verdana"/>
          <w:lang w:val="es-ES"/>
        </w:rPr>
        <w:t xml:space="preserve">dólares de los Estados Unidos de América) </w:t>
      </w:r>
      <w:r w:rsidR="00B82619" w:rsidRPr="00F955EE">
        <w:rPr>
          <w:lang w:val="es-ES" w:eastAsia="es-ES_tradnl"/>
        </w:rPr>
        <w:t xml:space="preserve">a </w:t>
      </w:r>
      <w:r w:rsidR="00B82619" w:rsidRPr="00F955EE">
        <w:rPr>
          <w:rFonts w:eastAsiaTheme="minorHAnsi"/>
          <w:szCs w:val="16"/>
          <w:lang w:val="es-ES" w:eastAsia="en-US"/>
        </w:rPr>
        <w:t>Patricio Fernando Roche Azaña,</w:t>
      </w:r>
      <w:r w:rsidR="00B82619" w:rsidRPr="00F955EE">
        <w:rPr>
          <w:lang w:val="es-ES" w:eastAsia="es-ES_tradnl"/>
        </w:rPr>
        <w:t xml:space="preserve"> a </w:t>
      </w:r>
      <w:r w:rsidR="00B82619" w:rsidRPr="00F955EE">
        <w:rPr>
          <w:rFonts w:eastAsiaTheme="minorHAnsi"/>
          <w:szCs w:val="16"/>
          <w:lang w:val="es-ES" w:eastAsia="en-US"/>
        </w:rPr>
        <w:t>José Fernando Roche Zhizhingo</w:t>
      </w:r>
      <w:r w:rsidR="00B82619" w:rsidRPr="00F955EE">
        <w:rPr>
          <w:lang w:val="es-ES" w:eastAsia="es-ES_tradnl"/>
        </w:rPr>
        <w:t xml:space="preserve"> y a</w:t>
      </w:r>
      <w:r w:rsidR="00B82619" w:rsidRPr="00F955EE">
        <w:rPr>
          <w:rFonts w:eastAsiaTheme="minorHAnsi"/>
          <w:sz w:val="16"/>
          <w:szCs w:val="16"/>
          <w:lang w:val="es-ES" w:eastAsia="en-US"/>
        </w:rPr>
        <w:t xml:space="preserve"> </w:t>
      </w:r>
      <w:r w:rsidR="00B82619" w:rsidRPr="00F955EE">
        <w:rPr>
          <w:rFonts w:eastAsiaTheme="minorHAnsi"/>
          <w:szCs w:val="16"/>
          <w:lang w:val="es-ES" w:eastAsia="en-US"/>
        </w:rPr>
        <w:t>María Angelita Azaña Tenesaca</w:t>
      </w:r>
      <w:r w:rsidR="009E4769" w:rsidRPr="00F955EE">
        <w:rPr>
          <w:rFonts w:eastAsia="Verdana" w:cs="Verdana"/>
          <w:lang w:val="es-ES"/>
        </w:rPr>
        <w:t xml:space="preserve">. </w:t>
      </w:r>
      <w:r w:rsidR="00FB7E54" w:rsidRPr="00F955EE">
        <w:rPr>
          <w:rFonts w:eastAsia="Verdana" w:cs="Verdana"/>
          <w:lang w:val="es-ES"/>
        </w:rPr>
        <w:t xml:space="preserve">A la vista de que el señor </w:t>
      </w:r>
      <w:r w:rsidR="00FB7E54" w:rsidRPr="00F955EE">
        <w:rPr>
          <w:rFonts w:eastAsiaTheme="minorHAnsi"/>
          <w:szCs w:val="16"/>
          <w:lang w:val="es-ES" w:eastAsia="en-US"/>
        </w:rPr>
        <w:t>José Fernando Roche Zhizhingo ya ha fallecido, la cantidad correspondiente deberá ser entregada</w:t>
      </w:r>
      <w:r w:rsidR="004C4DC4" w:rsidRPr="00F955EE">
        <w:rPr>
          <w:rFonts w:eastAsiaTheme="minorHAnsi"/>
          <w:szCs w:val="16"/>
          <w:lang w:val="es-ES" w:eastAsia="en-US"/>
        </w:rPr>
        <w:t xml:space="preserve"> </w:t>
      </w:r>
      <w:r w:rsidR="00FB7E54" w:rsidRPr="00F955EE">
        <w:rPr>
          <w:rFonts w:eastAsiaTheme="minorHAnsi"/>
          <w:szCs w:val="16"/>
          <w:lang w:val="es-ES" w:eastAsia="en-US"/>
        </w:rPr>
        <w:t xml:space="preserve">a </w:t>
      </w:r>
      <w:r w:rsidR="00B82619" w:rsidRPr="00F955EE">
        <w:rPr>
          <w:rFonts w:eastAsiaTheme="minorHAnsi"/>
          <w:szCs w:val="16"/>
          <w:lang w:val="es-ES" w:eastAsia="en-US"/>
        </w:rPr>
        <w:t xml:space="preserve">la señora </w:t>
      </w:r>
      <w:r w:rsidR="00FB7E54" w:rsidRPr="00F955EE">
        <w:rPr>
          <w:rFonts w:eastAsiaTheme="minorHAnsi"/>
          <w:szCs w:val="16"/>
          <w:lang w:val="es-ES" w:eastAsia="en-US"/>
        </w:rPr>
        <w:t>María Angelita Azaña Tenesaca.</w:t>
      </w:r>
      <w:r w:rsidRPr="00F955EE">
        <w:rPr>
          <w:rFonts w:eastAsiaTheme="minorHAnsi"/>
          <w:szCs w:val="16"/>
          <w:lang w:val="es-ES" w:eastAsia="en-US"/>
        </w:rPr>
        <w:t xml:space="preserve"> </w:t>
      </w:r>
    </w:p>
    <w:p w14:paraId="1C12183D" w14:textId="77777777" w:rsidR="002A018D" w:rsidRPr="00F955EE" w:rsidRDefault="002A018D" w:rsidP="00BF1D9F">
      <w:pPr>
        <w:tabs>
          <w:tab w:val="left" w:pos="567"/>
        </w:tabs>
        <w:textAlignment w:val="auto"/>
        <w:rPr>
          <w:rFonts w:eastAsia="Verdana" w:cs="Verdana"/>
          <w:color w:val="000000" w:themeColor="text1"/>
          <w:lang w:val="es-ES"/>
        </w:rPr>
      </w:pPr>
    </w:p>
    <w:p w14:paraId="6552381B" w14:textId="4BD51747" w:rsidR="00BF1D9F" w:rsidRPr="00F955EE" w:rsidRDefault="00BF1D25" w:rsidP="004F0770">
      <w:pPr>
        <w:numPr>
          <w:ilvl w:val="0"/>
          <w:numId w:val="4"/>
        </w:numPr>
        <w:tabs>
          <w:tab w:val="left" w:pos="567"/>
        </w:tabs>
        <w:ind w:left="0" w:firstLine="0"/>
        <w:textAlignment w:val="auto"/>
        <w:rPr>
          <w:rFonts w:eastAsia="Verdana" w:cs="Verdana"/>
          <w:color w:val="000000" w:themeColor="text1"/>
          <w:lang w:val="es-ES"/>
        </w:rPr>
      </w:pPr>
      <w:r w:rsidRPr="00F955EE">
        <w:rPr>
          <w:rFonts w:eastAsia="Verdana" w:cs="Verdana"/>
          <w:color w:val="000000" w:themeColor="text1"/>
          <w:lang w:val="es-ES"/>
        </w:rPr>
        <w:t>Con respecto al lucro cesante</w:t>
      </w:r>
      <w:r w:rsidR="00B82619" w:rsidRPr="00F955EE">
        <w:rPr>
          <w:rFonts w:eastAsia="Verdana" w:cs="Verdana"/>
          <w:color w:val="000000" w:themeColor="text1"/>
          <w:lang w:val="es-ES"/>
        </w:rPr>
        <w:t xml:space="preserve"> ocasionado por la muerte de Pedro Bacilio Roche Azaña</w:t>
      </w:r>
      <w:r w:rsidRPr="00F955EE">
        <w:rPr>
          <w:rFonts w:eastAsia="Verdana" w:cs="Verdana"/>
          <w:color w:val="000000" w:themeColor="text1"/>
          <w:lang w:val="es-ES"/>
        </w:rPr>
        <w:t xml:space="preserve">, </w:t>
      </w:r>
      <w:r w:rsidRPr="00F955EE">
        <w:rPr>
          <w:rFonts w:cs="Arial"/>
        </w:rPr>
        <w:t>e</w:t>
      </w:r>
      <w:r w:rsidRPr="00F955EE">
        <w:rPr>
          <w:rFonts w:eastAsia="MS Mincho"/>
          <w:lang w:bidi="en-US"/>
        </w:rPr>
        <w:t>l Tribunal</w:t>
      </w:r>
      <w:r w:rsidRPr="00F955EE">
        <w:rPr>
          <w:rFonts w:eastAsia="MS Mincho"/>
          <w:b/>
          <w:lang w:val="es-PE" w:bidi="en-US"/>
        </w:rPr>
        <w:t xml:space="preserve"> </w:t>
      </w:r>
      <w:r w:rsidRPr="00F955EE">
        <w:t xml:space="preserve">estima que el Estado debe entregar, en equidad, la suma </w:t>
      </w:r>
      <w:r w:rsidR="005B50E4" w:rsidRPr="000B64C0">
        <w:t>total</w:t>
      </w:r>
      <w:r w:rsidR="005B50E4">
        <w:t xml:space="preserve"> </w:t>
      </w:r>
      <w:r w:rsidRPr="00F955EE">
        <w:t xml:space="preserve">de </w:t>
      </w:r>
      <w:r w:rsidRPr="00F955EE">
        <w:rPr>
          <w:bCs/>
        </w:rPr>
        <w:t>US</w:t>
      </w:r>
      <w:r w:rsidR="004D7A0D">
        <w:rPr>
          <w:bCs/>
        </w:rPr>
        <w:t>D</w:t>
      </w:r>
      <w:r w:rsidRPr="00F955EE">
        <w:rPr>
          <w:bCs/>
        </w:rPr>
        <w:t xml:space="preserve">$ </w:t>
      </w:r>
      <w:r w:rsidR="00E0653F" w:rsidRPr="00F955EE">
        <w:rPr>
          <w:bCs/>
        </w:rPr>
        <w:t>50</w:t>
      </w:r>
      <w:r w:rsidRPr="00F955EE">
        <w:rPr>
          <w:bCs/>
        </w:rPr>
        <w:t>,000 (</w:t>
      </w:r>
      <w:r w:rsidR="00E0653F" w:rsidRPr="00F955EE">
        <w:rPr>
          <w:bCs/>
        </w:rPr>
        <w:t>cincuenta</w:t>
      </w:r>
      <w:r w:rsidRPr="00F955EE">
        <w:t xml:space="preserve"> mil dólares de los Estados Unidos de América) </w:t>
      </w:r>
      <w:r w:rsidR="005E560C" w:rsidRPr="00F955EE">
        <w:t xml:space="preserve">a </w:t>
      </w:r>
      <w:r w:rsidR="00B82619" w:rsidRPr="00F955EE">
        <w:rPr>
          <w:rFonts w:eastAsiaTheme="minorHAnsi"/>
          <w:szCs w:val="16"/>
          <w:lang w:val="es-ES" w:eastAsia="en-US"/>
        </w:rPr>
        <w:t>José Fernando Roche Zhizhingo</w:t>
      </w:r>
      <w:r w:rsidR="00B82619" w:rsidRPr="00F955EE">
        <w:rPr>
          <w:lang w:val="es-ES" w:eastAsia="es-ES_tradnl"/>
        </w:rPr>
        <w:t xml:space="preserve"> </w:t>
      </w:r>
      <w:r w:rsidR="00B82619" w:rsidRPr="00F955EE">
        <w:t>y a</w:t>
      </w:r>
      <w:r w:rsidR="005E560C" w:rsidRPr="00F955EE">
        <w:t xml:space="preserve"> María Angelita Azaña Tenesaca</w:t>
      </w:r>
      <w:r w:rsidRPr="00F955EE">
        <w:t>.</w:t>
      </w:r>
      <w:r w:rsidR="00B82619" w:rsidRPr="00F955EE">
        <w:rPr>
          <w:rFonts w:eastAsia="Verdana" w:cs="Verdana"/>
          <w:lang w:val="es-ES"/>
        </w:rPr>
        <w:t xml:space="preserve"> A la vista de que el señor </w:t>
      </w:r>
      <w:r w:rsidR="00B82619" w:rsidRPr="00F955EE">
        <w:rPr>
          <w:rFonts w:eastAsiaTheme="minorHAnsi"/>
          <w:szCs w:val="16"/>
          <w:lang w:val="es-ES" w:eastAsia="en-US"/>
        </w:rPr>
        <w:t>José Fernando Roche Zhizhingo ya ha fallecido, la cantidad correspondiente deberá ser entregada a la señora María Angelita Azaña Tenesaca.</w:t>
      </w:r>
      <w:r w:rsidR="00F10120">
        <w:rPr>
          <w:rFonts w:eastAsiaTheme="minorHAnsi"/>
          <w:szCs w:val="16"/>
          <w:lang w:val="es-ES" w:eastAsia="en-US"/>
        </w:rPr>
        <w:t xml:space="preserve"> </w:t>
      </w:r>
    </w:p>
    <w:p w14:paraId="40A89F4A" w14:textId="658A767A" w:rsidR="002D77E4" w:rsidRPr="00F955EE" w:rsidRDefault="00B95745" w:rsidP="002D77E4">
      <w:pPr>
        <w:pStyle w:val="Ttulo3"/>
        <w:rPr>
          <w:lang w:val="es-ES"/>
        </w:rPr>
      </w:pPr>
      <w:bookmarkStart w:id="107" w:name="_Toc514172671"/>
      <w:bookmarkStart w:id="108" w:name="_Toc476390744"/>
      <w:bookmarkStart w:id="109" w:name="_Toc495658703"/>
      <w:bookmarkStart w:id="110" w:name="_Toc15064204"/>
      <w:bookmarkStart w:id="111" w:name="_Toc15933780"/>
      <w:bookmarkStart w:id="112" w:name="_Toc33017904"/>
      <w:bookmarkStart w:id="113" w:name="_Toc43216175"/>
      <w:r w:rsidRPr="00F955EE">
        <w:rPr>
          <w:lang w:val="es-ES"/>
        </w:rPr>
        <w:t>f</w:t>
      </w:r>
      <w:r w:rsidR="002D77E4" w:rsidRPr="00F955EE">
        <w:rPr>
          <w:lang w:val="es-ES"/>
        </w:rPr>
        <w:t>.2</w:t>
      </w:r>
      <w:r w:rsidR="002D77E4" w:rsidRPr="00F955EE">
        <w:rPr>
          <w:lang w:val="es-ES"/>
        </w:rPr>
        <w:tab/>
        <w:t>Daño inmaterial</w:t>
      </w:r>
      <w:bookmarkEnd w:id="107"/>
      <w:bookmarkEnd w:id="108"/>
      <w:bookmarkEnd w:id="109"/>
      <w:bookmarkEnd w:id="110"/>
      <w:bookmarkEnd w:id="111"/>
      <w:bookmarkEnd w:id="112"/>
      <w:bookmarkEnd w:id="113"/>
      <w:r w:rsidR="00E218B2" w:rsidRPr="00F955EE">
        <w:rPr>
          <w:lang w:val="es-ES"/>
        </w:rPr>
        <w:t xml:space="preserve"> </w:t>
      </w:r>
    </w:p>
    <w:p w14:paraId="1FF3A184" w14:textId="03DC4B32" w:rsidR="002D77E4" w:rsidRPr="00F955EE" w:rsidRDefault="002D77E4" w:rsidP="004F0770">
      <w:pPr>
        <w:numPr>
          <w:ilvl w:val="0"/>
          <w:numId w:val="4"/>
        </w:numPr>
        <w:tabs>
          <w:tab w:val="left" w:pos="567"/>
        </w:tabs>
        <w:ind w:left="0" w:firstLine="0"/>
        <w:textAlignment w:val="auto"/>
        <w:rPr>
          <w:rFonts w:eastAsia="MS Mincho"/>
          <w:bCs/>
          <w:lang w:val="es-ES" w:bidi="en-US"/>
        </w:rPr>
      </w:pPr>
      <w:r w:rsidRPr="00F955EE">
        <w:rPr>
          <w:rFonts w:eastAsia="MS Mincho"/>
          <w:bCs/>
          <w:lang w:val="es-ES" w:bidi="en-US"/>
        </w:rPr>
        <w:t xml:space="preserve">De manera general, la </w:t>
      </w:r>
      <w:r w:rsidRPr="00F955EE">
        <w:rPr>
          <w:rFonts w:eastAsia="MS Mincho"/>
          <w:b/>
          <w:bCs/>
          <w:i/>
          <w:lang w:val="es-ES" w:bidi="en-US"/>
        </w:rPr>
        <w:t>Comisión</w:t>
      </w:r>
      <w:r w:rsidRPr="00F955EE">
        <w:rPr>
          <w:rFonts w:eastAsia="MS Mincho"/>
          <w:bCs/>
          <w:lang w:val="es-ES" w:bidi="en-US"/>
        </w:rPr>
        <w:t xml:space="preserve"> solicitó que el Estado repare integralmente las violaciones de derechos humanos declaradas en su informe en el aspecto inmaterial,</w:t>
      </w:r>
      <w:r w:rsidR="00BD7004">
        <w:rPr>
          <w:rFonts w:eastAsia="MS Mincho"/>
          <w:bCs/>
          <w:lang w:val="es-ES" w:bidi="en-US"/>
        </w:rPr>
        <w:t xml:space="preserve"> </w:t>
      </w:r>
      <w:r w:rsidRPr="00F955EE">
        <w:rPr>
          <w:rFonts w:eastAsia="MS Mincho"/>
          <w:bCs/>
          <w:lang w:val="es-ES" w:bidi="en-US"/>
        </w:rPr>
        <w:t xml:space="preserve">a favor del señor Patricio Roche Azaña y de sus padres. </w:t>
      </w:r>
    </w:p>
    <w:p w14:paraId="6088114E" w14:textId="77777777" w:rsidR="002D77E4" w:rsidRPr="00F955EE" w:rsidRDefault="002D77E4" w:rsidP="002D77E4">
      <w:pPr>
        <w:tabs>
          <w:tab w:val="left" w:pos="567"/>
        </w:tabs>
        <w:textAlignment w:val="auto"/>
        <w:rPr>
          <w:rFonts w:cs="Arial"/>
          <w:lang w:val="es-ES"/>
        </w:rPr>
      </w:pPr>
    </w:p>
    <w:p w14:paraId="5F0CBAB2" w14:textId="353D7BBB" w:rsidR="002D77E4" w:rsidRPr="00F955EE" w:rsidRDefault="002D77E4" w:rsidP="004F0770">
      <w:pPr>
        <w:numPr>
          <w:ilvl w:val="0"/>
          <w:numId w:val="4"/>
        </w:numPr>
        <w:tabs>
          <w:tab w:val="left" w:pos="567"/>
        </w:tabs>
        <w:ind w:left="0" w:firstLine="0"/>
        <w:textAlignment w:val="auto"/>
        <w:rPr>
          <w:rFonts w:cs="Arial"/>
          <w:lang w:val="es-ES"/>
        </w:rPr>
      </w:pPr>
      <w:r w:rsidRPr="00F955EE">
        <w:rPr>
          <w:rFonts w:eastAsia="Calibri"/>
          <w:lang w:val="es-ES"/>
        </w:rPr>
        <w:t xml:space="preserve">El </w:t>
      </w:r>
      <w:r w:rsidRPr="00F955EE">
        <w:rPr>
          <w:rFonts w:eastAsia="Calibri"/>
          <w:b/>
          <w:i/>
          <w:lang w:val="es-ES"/>
        </w:rPr>
        <w:t>representante</w:t>
      </w:r>
      <w:r w:rsidRPr="00F955EE">
        <w:rPr>
          <w:b/>
          <w:i/>
          <w:lang w:val="es-ES"/>
        </w:rPr>
        <w:t xml:space="preserve"> </w:t>
      </w:r>
      <w:r w:rsidRPr="00F955EE">
        <w:rPr>
          <w:rFonts w:eastAsia="Verdana" w:cs="Verdana"/>
          <w:lang w:val="es-ES"/>
        </w:rPr>
        <w:t xml:space="preserve">coincidió con lo solicitado por la Comisión. </w:t>
      </w:r>
    </w:p>
    <w:p w14:paraId="066324F2" w14:textId="77777777" w:rsidR="002D77E4" w:rsidRPr="00F955EE" w:rsidRDefault="002D77E4" w:rsidP="006D4185">
      <w:pPr>
        <w:tabs>
          <w:tab w:val="left" w:pos="567"/>
        </w:tabs>
        <w:textAlignment w:val="auto"/>
        <w:rPr>
          <w:rFonts w:eastAsia="MS Mincho"/>
          <w:lang w:val="es-ES" w:bidi="en-US"/>
        </w:rPr>
      </w:pPr>
    </w:p>
    <w:p w14:paraId="248D0912" w14:textId="4FAAECD0" w:rsidR="002D77E4" w:rsidRPr="00F955EE" w:rsidRDefault="002D77E4" w:rsidP="004F0770">
      <w:pPr>
        <w:numPr>
          <w:ilvl w:val="0"/>
          <w:numId w:val="4"/>
        </w:numPr>
        <w:tabs>
          <w:tab w:val="left" w:pos="567"/>
        </w:tabs>
        <w:ind w:left="0" w:firstLine="0"/>
        <w:textAlignment w:val="auto"/>
        <w:rPr>
          <w:rFonts w:cs="Arial"/>
          <w:lang w:val="es-ES"/>
        </w:rPr>
      </w:pPr>
      <w:r w:rsidRPr="00F955EE">
        <w:rPr>
          <w:rFonts w:eastAsia="MS Mincho"/>
          <w:lang w:val="es-ES" w:bidi="en-US"/>
        </w:rPr>
        <w:t xml:space="preserve">El </w:t>
      </w:r>
      <w:r w:rsidRPr="00F955EE">
        <w:rPr>
          <w:rFonts w:eastAsia="MS Mincho"/>
          <w:b/>
          <w:i/>
          <w:lang w:val="es-ES" w:bidi="en-US"/>
        </w:rPr>
        <w:t xml:space="preserve">Estado </w:t>
      </w:r>
      <w:r w:rsidRPr="00F955EE">
        <w:rPr>
          <w:rFonts w:eastAsia="MS Mincho"/>
          <w:lang w:val="es-ES" w:bidi="en-US"/>
        </w:rPr>
        <w:t xml:space="preserve">solicitó que se desestimara conceder la propuesta realizada por la Comisión. Asimismo, sostuvo que no debe ningún tipo de reparación pecuniaria por daño moral a ninguna de las supuestas víctimas, en tanto no se ha incurrido en ninguna de las situaciones que, según el criterio de la Corte, se requieren para establecer como evidente el daño. Al respecto, resaltaron que las evidencias expuestas revelan que las autoridades del Sistema de Justicia Penal llevaron todas las acciones necesarias de investigación y judicialización para que los hechos no quedaran en impunidad. Por último, alegaron que en el caso que la Corte concluya que se repare por daños inmateriales, el monto sea fijado con equidad. </w:t>
      </w:r>
    </w:p>
    <w:p w14:paraId="51A1B102" w14:textId="77777777" w:rsidR="002D77E4" w:rsidRPr="00F955EE" w:rsidRDefault="002D77E4" w:rsidP="002D77E4">
      <w:pPr>
        <w:tabs>
          <w:tab w:val="left" w:pos="567"/>
        </w:tabs>
        <w:textAlignment w:val="auto"/>
        <w:rPr>
          <w:rFonts w:cs="Arial"/>
          <w:lang w:val="es-ES"/>
        </w:rPr>
      </w:pPr>
    </w:p>
    <w:p w14:paraId="43107FC7" w14:textId="77777777" w:rsidR="002D77E4" w:rsidRPr="00F955EE" w:rsidRDefault="002D77E4" w:rsidP="004F0770">
      <w:pPr>
        <w:numPr>
          <w:ilvl w:val="0"/>
          <w:numId w:val="4"/>
        </w:numPr>
        <w:tabs>
          <w:tab w:val="left" w:pos="567"/>
        </w:tabs>
        <w:ind w:left="0" w:firstLine="0"/>
        <w:textAlignment w:val="auto"/>
        <w:rPr>
          <w:rFonts w:eastAsia="Calibri"/>
          <w:b/>
          <w:i/>
          <w:lang w:val="es-ES"/>
        </w:rPr>
      </w:pPr>
      <w:r w:rsidRPr="00F955EE">
        <w:rPr>
          <w:rFonts w:cs="Arial"/>
          <w:lang w:val="es-ES"/>
        </w:rPr>
        <w:t>La</w:t>
      </w:r>
      <w:r w:rsidRPr="00F955EE">
        <w:rPr>
          <w:lang w:val="es-ES"/>
        </w:rPr>
        <w:t xml:space="preserve"> </w:t>
      </w:r>
      <w:r w:rsidRPr="00563CA7">
        <w:rPr>
          <w:b/>
          <w:bCs/>
          <w:i/>
          <w:iCs/>
          <w:lang w:val="es-ES"/>
        </w:rPr>
        <w:t>Corte</w:t>
      </w:r>
      <w:r w:rsidRPr="00F955EE">
        <w:rPr>
          <w:lang w:val="es-ES"/>
        </w:rPr>
        <w:t xml:space="preserve"> ha establecido en su jurisprudencia que el daño inmaterial “puede comprender tanto los sufrimientos y las aflicciones causados por la violación como el menoscabo de valores muy significativos para las personas y cualquier alteración, de carácter no pecuniario, en las condiciones de existencia de las víctimas”. Por otra parte, dado que no es posible asignar al daño inmaterial un equivalente monetario preciso, sólo puede ser objeto de compensación, para los fines de la reparación integral a la víctima, mediante el pago de una cantidad de dinero o la entrega de bienes o servicios apreciables en dinero, que el Tribunal determine en aplicación razonable del arbitrio judicial y en términos de equidad</w:t>
      </w:r>
      <w:r w:rsidRPr="00F955EE">
        <w:rPr>
          <w:rFonts w:eastAsia="Calibri"/>
          <w:vertAlign w:val="superscript"/>
          <w:lang w:val="es-ES"/>
        </w:rPr>
        <w:footnoteReference w:id="146"/>
      </w:r>
      <w:r w:rsidRPr="00F955EE">
        <w:rPr>
          <w:lang w:val="es-ES"/>
        </w:rPr>
        <w:t>.</w:t>
      </w:r>
    </w:p>
    <w:p w14:paraId="6B02DE44" w14:textId="77777777" w:rsidR="002D77E4" w:rsidRPr="00F955EE" w:rsidRDefault="002D77E4" w:rsidP="002D77E4">
      <w:pPr>
        <w:tabs>
          <w:tab w:val="left" w:pos="567"/>
        </w:tabs>
        <w:textAlignment w:val="auto"/>
        <w:rPr>
          <w:rFonts w:eastAsia="Calibri"/>
          <w:b/>
          <w:i/>
          <w:highlight w:val="yellow"/>
          <w:lang w:val="es-ES"/>
        </w:rPr>
      </w:pPr>
    </w:p>
    <w:p w14:paraId="6815C2E6" w14:textId="5B0DA26B" w:rsidR="002D77E4" w:rsidRPr="00F955EE" w:rsidRDefault="002D77E4" w:rsidP="004F0770">
      <w:pPr>
        <w:numPr>
          <w:ilvl w:val="0"/>
          <w:numId w:val="4"/>
        </w:numPr>
        <w:tabs>
          <w:tab w:val="left" w:pos="567"/>
        </w:tabs>
        <w:ind w:left="0" w:firstLine="0"/>
        <w:textAlignment w:val="auto"/>
        <w:rPr>
          <w:lang w:val="es-ES"/>
        </w:rPr>
      </w:pPr>
      <w:r w:rsidRPr="00F955EE">
        <w:rPr>
          <w:lang w:val="es-ES"/>
        </w:rPr>
        <w:t>Por ello, considerando</w:t>
      </w:r>
      <w:r w:rsidR="00B621D1">
        <w:rPr>
          <w:lang w:val="es-ES"/>
        </w:rPr>
        <w:t xml:space="preserve"> las</w:t>
      </w:r>
      <w:r w:rsidRPr="00F955EE">
        <w:rPr>
          <w:lang w:val="es-ES"/>
        </w:rPr>
        <w:t xml:space="preserve"> circunstancias del presente caso, las violaciones cometidas, los sufrimientos ocasionados y experimentados en diferentes grados y el tiempo transcurrido, el Tribunal pasa a fijar en equidad las indemnizaciones por daño inmaterial a favor de las víctimas. </w:t>
      </w:r>
    </w:p>
    <w:p w14:paraId="25E2D67C" w14:textId="77777777" w:rsidR="002D77E4" w:rsidRPr="00F955EE" w:rsidRDefault="002D77E4" w:rsidP="002D77E4">
      <w:pPr>
        <w:tabs>
          <w:tab w:val="left" w:pos="567"/>
        </w:tabs>
        <w:textAlignment w:val="auto"/>
        <w:rPr>
          <w:lang w:val="es-ES"/>
        </w:rPr>
      </w:pPr>
    </w:p>
    <w:p w14:paraId="11B0061A" w14:textId="2F2F7CD7" w:rsidR="00EA15FB" w:rsidRPr="005B50E4" w:rsidRDefault="002D77E4" w:rsidP="004F0770">
      <w:pPr>
        <w:numPr>
          <w:ilvl w:val="0"/>
          <w:numId w:val="4"/>
        </w:numPr>
        <w:tabs>
          <w:tab w:val="left" w:pos="567"/>
        </w:tabs>
        <w:ind w:left="0" w:firstLine="0"/>
        <w:textAlignment w:val="auto"/>
        <w:rPr>
          <w:rFonts w:eastAsia="Verdana" w:cs="Verdana"/>
          <w:color w:val="000000" w:themeColor="text1"/>
          <w:lang w:val="es-ES"/>
        </w:rPr>
      </w:pPr>
      <w:r w:rsidRPr="00F955EE">
        <w:rPr>
          <w:lang w:val="es-ES"/>
        </w:rPr>
        <w:t xml:space="preserve">En función de ello, la Corte ordena, en equidad, el pago de la suma de </w:t>
      </w:r>
      <w:r w:rsidR="004D7A0D" w:rsidRPr="00F955EE">
        <w:rPr>
          <w:lang w:val="es-ES" w:eastAsia="es-ES_tradnl"/>
        </w:rPr>
        <w:t>US</w:t>
      </w:r>
      <w:r w:rsidR="004D7A0D">
        <w:rPr>
          <w:lang w:val="es-ES" w:eastAsia="es-ES_tradnl"/>
        </w:rPr>
        <w:t>D</w:t>
      </w:r>
      <w:r w:rsidR="004D7A0D" w:rsidRPr="00F955EE">
        <w:rPr>
          <w:lang w:val="es-ES" w:eastAsia="es-ES_tradnl"/>
        </w:rPr>
        <w:t>$</w:t>
      </w:r>
      <w:r w:rsidR="004D7A0D">
        <w:rPr>
          <w:lang w:val="es-ES" w:eastAsia="es-ES_tradnl"/>
        </w:rPr>
        <w:t xml:space="preserve"> </w:t>
      </w:r>
      <w:r w:rsidR="005B50E4" w:rsidRPr="000B64C0">
        <w:rPr>
          <w:bCs/>
          <w:lang w:val="es-ES"/>
        </w:rPr>
        <w:t>80,000</w:t>
      </w:r>
      <w:r w:rsidR="00372220">
        <w:rPr>
          <w:bCs/>
          <w:lang w:val="es-ES"/>
        </w:rPr>
        <w:t xml:space="preserve"> </w:t>
      </w:r>
      <w:r w:rsidRPr="000B64C0">
        <w:rPr>
          <w:bCs/>
          <w:lang w:val="es-ES"/>
        </w:rPr>
        <w:t>(</w:t>
      </w:r>
      <w:r w:rsidR="009B752E" w:rsidRPr="000B64C0">
        <w:rPr>
          <w:bCs/>
          <w:lang w:val="es-ES"/>
        </w:rPr>
        <w:t xml:space="preserve">ochenta </w:t>
      </w:r>
      <w:r w:rsidRPr="000B64C0">
        <w:rPr>
          <w:bCs/>
          <w:lang w:val="es-ES"/>
        </w:rPr>
        <w:t xml:space="preserve">mil dólares de los Estados Unidos de América), por concepto de daño inmaterial en favor del señor Pedro Bacilio Roche Azaña y el pago de la suma de </w:t>
      </w:r>
      <w:r w:rsidR="005B50E4" w:rsidRPr="000B64C0">
        <w:rPr>
          <w:bCs/>
        </w:rPr>
        <w:t>US</w:t>
      </w:r>
      <w:r w:rsidR="004D7A0D">
        <w:rPr>
          <w:bCs/>
        </w:rPr>
        <w:t>D</w:t>
      </w:r>
      <w:r w:rsidR="005B50E4" w:rsidRPr="000B64C0">
        <w:rPr>
          <w:bCs/>
        </w:rPr>
        <w:t xml:space="preserve">$ </w:t>
      </w:r>
      <w:r w:rsidR="005B50E4" w:rsidRPr="000B64C0">
        <w:rPr>
          <w:bCs/>
          <w:lang w:val="es-ES"/>
        </w:rPr>
        <w:t xml:space="preserve">65,000 </w:t>
      </w:r>
      <w:r w:rsidR="00FB7E54" w:rsidRPr="000B64C0">
        <w:rPr>
          <w:bCs/>
          <w:lang w:val="es-ES"/>
        </w:rPr>
        <w:t>(</w:t>
      </w:r>
      <w:r w:rsidR="00A44805" w:rsidRPr="000B64C0">
        <w:rPr>
          <w:bCs/>
          <w:lang w:val="es-ES"/>
        </w:rPr>
        <w:t>sesenta</w:t>
      </w:r>
      <w:r w:rsidR="009B752E" w:rsidRPr="000B64C0">
        <w:rPr>
          <w:bCs/>
          <w:lang w:val="es-ES"/>
        </w:rPr>
        <w:t xml:space="preserve"> y cinco</w:t>
      </w:r>
      <w:r w:rsidR="00A44805" w:rsidRPr="000B64C0">
        <w:rPr>
          <w:bCs/>
          <w:lang w:val="es-ES"/>
        </w:rPr>
        <w:t xml:space="preserve"> </w:t>
      </w:r>
      <w:r w:rsidRPr="000B64C0">
        <w:rPr>
          <w:bCs/>
          <w:lang w:val="es-ES"/>
        </w:rPr>
        <w:t>mil dólares de los Estados Unidos de América), por concepto de daño inmaterial en favor de</w:t>
      </w:r>
      <w:r w:rsidRPr="00F955EE">
        <w:rPr>
          <w:lang w:val="es-ES"/>
        </w:rPr>
        <w:t xml:space="preserve"> </w:t>
      </w:r>
      <w:r w:rsidR="00FB7E54" w:rsidRPr="00F955EE">
        <w:rPr>
          <w:lang w:val="es-ES"/>
        </w:rPr>
        <w:t>Patricio Fernando Roche Azaña</w:t>
      </w:r>
      <w:r w:rsidR="00962B54" w:rsidRPr="00F955EE">
        <w:rPr>
          <w:lang w:val="es-ES"/>
        </w:rPr>
        <w:t xml:space="preserve">. </w:t>
      </w:r>
      <w:r w:rsidR="00FB7E54" w:rsidRPr="00F955EE">
        <w:rPr>
          <w:lang w:val="es-ES"/>
        </w:rPr>
        <w:t xml:space="preserve">La suma </w:t>
      </w:r>
      <w:r w:rsidR="00EA15FB" w:rsidRPr="00F955EE">
        <w:rPr>
          <w:lang w:val="es-ES"/>
        </w:rPr>
        <w:t xml:space="preserve">correspondiente al señor Pedro Bacilio Roche Azaña deberá ser entregada, en partes iguales, </w:t>
      </w:r>
      <w:r w:rsidR="00EA15FB" w:rsidRPr="00F955EE">
        <w:rPr>
          <w:rFonts w:eastAsiaTheme="minorHAnsi"/>
          <w:szCs w:val="16"/>
          <w:lang w:val="es-ES" w:eastAsia="en-US"/>
        </w:rPr>
        <w:t>a María Angelita Azaña Tenesaca y a Patricio Fernando Roche Azaña.</w:t>
      </w:r>
    </w:p>
    <w:p w14:paraId="417C205C" w14:textId="77777777" w:rsidR="00EA15FB" w:rsidRPr="00F955EE" w:rsidRDefault="00EA15FB" w:rsidP="00EA15FB">
      <w:pPr>
        <w:tabs>
          <w:tab w:val="left" w:pos="567"/>
        </w:tabs>
        <w:textAlignment w:val="auto"/>
        <w:rPr>
          <w:rFonts w:eastAsia="Verdana" w:cs="Verdana"/>
          <w:color w:val="000000" w:themeColor="text1"/>
          <w:lang w:val="es-ES"/>
        </w:rPr>
      </w:pPr>
    </w:p>
    <w:p w14:paraId="1D4B17ED" w14:textId="0E96C7B1" w:rsidR="0009794F" w:rsidRPr="00F955EE" w:rsidRDefault="00FB7E54" w:rsidP="004F0770">
      <w:pPr>
        <w:numPr>
          <w:ilvl w:val="0"/>
          <w:numId w:val="4"/>
        </w:numPr>
        <w:tabs>
          <w:tab w:val="left" w:pos="567"/>
        </w:tabs>
        <w:ind w:left="0" w:firstLine="0"/>
        <w:textAlignment w:val="auto"/>
        <w:rPr>
          <w:rFonts w:eastAsia="Verdana" w:cs="Verdana"/>
          <w:color w:val="000000" w:themeColor="text1"/>
          <w:lang w:val="es-ES"/>
        </w:rPr>
      </w:pPr>
      <w:r w:rsidRPr="00F955EE">
        <w:rPr>
          <w:lang w:val="es-ES" w:eastAsia="es-ES_tradnl"/>
        </w:rPr>
        <w:t xml:space="preserve">Adicionalmente, en vista de </w:t>
      </w:r>
      <w:r w:rsidR="00BB57BF" w:rsidRPr="00F955EE">
        <w:rPr>
          <w:lang w:val="es-ES" w:eastAsia="es-ES_tradnl"/>
        </w:rPr>
        <w:t>las violaciones</w:t>
      </w:r>
      <w:r w:rsidRPr="00F955EE">
        <w:rPr>
          <w:lang w:val="es-ES" w:eastAsia="es-ES_tradnl"/>
        </w:rPr>
        <w:t xml:space="preserve"> acreditada</w:t>
      </w:r>
      <w:r w:rsidR="00BB57BF" w:rsidRPr="00F955EE">
        <w:rPr>
          <w:lang w:val="es-ES" w:eastAsia="es-ES_tradnl"/>
        </w:rPr>
        <w:t>s</w:t>
      </w:r>
      <w:r w:rsidRPr="00F955EE">
        <w:rPr>
          <w:lang w:val="es-ES" w:eastAsia="es-ES_tradnl"/>
        </w:rPr>
        <w:t xml:space="preserve"> en perjuicio de </w:t>
      </w:r>
      <w:r w:rsidR="00EA15FB" w:rsidRPr="00F955EE">
        <w:rPr>
          <w:lang w:val="es-ES" w:eastAsia="es-ES_tradnl"/>
        </w:rPr>
        <w:t>los padres</w:t>
      </w:r>
      <w:r w:rsidRPr="00F955EE">
        <w:rPr>
          <w:lang w:val="es-ES" w:eastAsia="es-ES_tradnl"/>
        </w:rPr>
        <w:t xml:space="preserve"> de la</w:t>
      </w:r>
      <w:r w:rsidR="00EA15FB" w:rsidRPr="00F955EE">
        <w:rPr>
          <w:lang w:val="es-ES" w:eastAsia="es-ES_tradnl"/>
        </w:rPr>
        <w:t>s</w:t>
      </w:r>
      <w:r w:rsidRPr="00F955EE">
        <w:rPr>
          <w:lang w:val="es-ES" w:eastAsia="es-ES_tradnl"/>
        </w:rPr>
        <w:t xml:space="preserve"> </w:t>
      </w:r>
      <w:r w:rsidR="008E1202" w:rsidRPr="00F955EE">
        <w:rPr>
          <w:lang w:val="es-ES" w:eastAsia="es-ES_tradnl"/>
        </w:rPr>
        <w:t>víctimas</w:t>
      </w:r>
      <w:r w:rsidRPr="00F955EE">
        <w:rPr>
          <w:lang w:val="es-ES" w:eastAsia="es-ES_tradnl"/>
        </w:rPr>
        <w:t>, la Corte fija, en equidad, la suma de US</w:t>
      </w:r>
      <w:r w:rsidR="004D7A0D">
        <w:rPr>
          <w:lang w:val="es-ES" w:eastAsia="es-ES_tradnl"/>
        </w:rPr>
        <w:t>D</w:t>
      </w:r>
      <w:r w:rsidRPr="00F955EE">
        <w:rPr>
          <w:lang w:val="es-ES" w:eastAsia="es-ES_tradnl"/>
        </w:rPr>
        <w:t>$</w:t>
      </w:r>
      <w:r w:rsidR="004D7A0D">
        <w:rPr>
          <w:lang w:val="es-ES" w:eastAsia="es-ES_tradnl"/>
        </w:rPr>
        <w:t xml:space="preserve"> </w:t>
      </w:r>
      <w:r w:rsidRPr="00F955EE">
        <w:rPr>
          <w:lang w:val="es-ES" w:eastAsia="es-ES_tradnl"/>
        </w:rPr>
        <w:t>15</w:t>
      </w:r>
      <w:r w:rsidR="00DD4AE9" w:rsidRPr="00F955EE">
        <w:rPr>
          <w:lang w:val="es-ES" w:eastAsia="es-ES_tradnl"/>
        </w:rPr>
        <w:t>,</w:t>
      </w:r>
      <w:r w:rsidRPr="00F955EE">
        <w:rPr>
          <w:lang w:val="es-ES" w:eastAsia="es-ES_tradnl"/>
        </w:rPr>
        <w:t xml:space="preserve">000 (quince mil </w:t>
      </w:r>
      <w:r w:rsidR="008E1202" w:rsidRPr="00F955EE">
        <w:rPr>
          <w:lang w:val="es-ES" w:eastAsia="es-ES_tradnl"/>
        </w:rPr>
        <w:t>dólares</w:t>
      </w:r>
      <w:r w:rsidRPr="00F955EE">
        <w:rPr>
          <w:lang w:val="es-ES" w:eastAsia="es-ES_tradnl"/>
        </w:rPr>
        <w:t xml:space="preserve"> de los Estados Unidos de </w:t>
      </w:r>
      <w:r w:rsidR="008E1202" w:rsidRPr="00F955EE">
        <w:rPr>
          <w:lang w:val="es-ES" w:eastAsia="es-ES_tradnl"/>
        </w:rPr>
        <w:t>América</w:t>
      </w:r>
      <w:r w:rsidRPr="00F955EE">
        <w:rPr>
          <w:lang w:val="es-ES" w:eastAsia="es-ES_tradnl"/>
        </w:rPr>
        <w:t>)</w:t>
      </w:r>
      <w:r w:rsidR="00BB57BF" w:rsidRPr="00F955EE">
        <w:rPr>
          <w:lang w:val="es-ES" w:eastAsia="es-ES_tradnl"/>
        </w:rPr>
        <w:t>, respectivamente</w:t>
      </w:r>
      <w:r w:rsidR="004C4DC4" w:rsidRPr="00F955EE">
        <w:rPr>
          <w:lang w:val="es-ES" w:eastAsia="es-ES_tradnl"/>
        </w:rPr>
        <w:t>,</w:t>
      </w:r>
      <w:r w:rsidRPr="00F955EE">
        <w:rPr>
          <w:lang w:val="es-ES" w:eastAsia="es-ES_tradnl"/>
        </w:rPr>
        <w:t xml:space="preserve"> a favor de </w:t>
      </w:r>
      <w:r w:rsidR="00EA15FB" w:rsidRPr="00F955EE">
        <w:rPr>
          <w:lang w:val="es-ES"/>
        </w:rPr>
        <w:t xml:space="preserve">María Angelita Azaña Tenesaca y </w:t>
      </w:r>
      <w:r w:rsidR="00B621D1">
        <w:rPr>
          <w:lang w:val="es-ES"/>
        </w:rPr>
        <w:t xml:space="preserve">de </w:t>
      </w:r>
      <w:r w:rsidR="00EA15FB" w:rsidRPr="00F955EE">
        <w:rPr>
          <w:rFonts w:eastAsiaTheme="minorHAnsi"/>
          <w:lang w:val="es-ES" w:eastAsia="en-US"/>
        </w:rPr>
        <w:t>José Fernando Roche Zhizhingo</w:t>
      </w:r>
      <w:r w:rsidRPr="00F955EE">
        <w:rPr>
          <w:lang w:val="es-ES" w:eastAsia="es-ES_tradnl"/>
        </w:rPr>
        <w:t xml:space="preserve">, por concepto de </w:t>
      </w:r>
      <w:r w:rsidR="008E1202" w:rsidRPr="00F955EE">
        <w:rPr>
          <w:lang w:val="es-ES" w:eastAsia="es-ES_tradnl"/>
        </w:rPr>
        <w:t>daño</w:t>
      </w:r>
      <w:r w:rsidRPr="00F955EE">
        <w:rPr>
          <w:lang w:val="es-ES" w:eastAsia="es-ES_tradnl"/>
        </w:rPr>
        <w:t xml:space="preserve"> inmaterial. </w:t>
      </w:r>
      <w:r w:rsidR="004C4DC4" w:rsidRPr="00F955EE">
        <w:rPr>
          <w:rFonts w:eastAsia="Verdana" w:cs="Verdana"/>
          <w:lang w:val="es-ES"/>
        </w:rPr>
        <w:t xml:space="preserve">A la vista de que el señor </w:t>
      </w:r>
      <w:r w:rsidR="004C4DC4" w:rsidRPr="00F955EE">
        <w:rPr>
          <w:rFonts w:eastAsiaTheme="minorHAnsi"/>
          <w:szCs w:val="16"/>
          <w:lang w:val="es-ES" w:eastAsia="en-US"/>
        </w:rPr>
        <w:t>José Fernando Roche Zhizhingo ya ha fallecido, la cantidad correspondiente deberá ser entregada a María Angelita Azaña Tenesaca.</w:t>
      </w:r>
    </w:p>
    <w:p w14:paraId="2614D24F" w14:textId="751CE4D2" w:rsidR="00B82619" w:rsidRPr="00F955EE" w:rsidRDefault="00B82619" w:rsidP="00B82619">
      <w:pPr>
        <w:pStyle w:val="Ttulo2"/>
        <w:rPr>
          <w:lang w:val="es-ES"/>
        </w:rPr>
      </w:pPr>
      <w:bookmarkStart w:id="114" w:name="_Toc43216176"/>
      <w:bookmarkStart w:id="115" w:name="_Toc514172673"/>
      <w:bookmarkStart w:id="116" w:name="_Toc476390747"/>
      <w:bookmarkStart w:id="117" w:name="_Toc495658705"/>
      <w:bookmarkStart w:id="118" w:name="_Toc15933782"/>
      <w:bookmarkStart w:id="119" w:name="_Toc33017906"/>
      <w:r w:rsidRPr="00F955EE">
        <w:rPr>
          <w:lang w:val="es-ES"/>
        </w:rPr>
        <w:t>H. Costas y gastos</w:t>
      </w:r>
      <w:bookmarkEnd w:id="114"/>
    </w:p>
    <w:p w14:paraId="708332B7" w14:textId="75D989B7" w:rsidR="00B82619" w:rsidRPr="005B50E4" w:rsidRDefault="00B82619" w:rsidP="004F0770">
      <w:pPr>
        <w:numPr>
          <w:ilvl w:val="0"/>
          <w:numId w:val="4"/>
        </w:numPr>
        <w:tabs>
          <w:tab w:val="left" w:pos="567"/>
          <w:tab w:val="num" w:pos="5057"/>
        </w:tabs>
        <w:ind w:left="0" w:firstLine="0"/>
        <w:rPr>
          <w:rFonts w:cs="Arial"/>
          <w:lang w:val="es-ES"/>
        </w:rPr>
      </w:pPr>
      <w:r w:rsidRPr="00F955EE">
        <w:rPr>
          <w:rFonts w:eastAsia="MS Mincho" w:cs="Verdana"/>
          <w:snapToGrid w:val="0"/>
          <w:lang w:val="es-ES" w:eastAsia="es-ES" w:bidi="en-US"/>
        </w:rPr>
        <w:t xml:space="preserve">La Corte observa que en el presente caso el representante no realizó ningún tipo de alegación </w:t>
      </w:r>
      <w:r w:rsidR="00C1313A" w:rsidRPr="00F955EE">
        <w:rPr>
          <w:rFonts w:eastAsia="MS Mincho" w:cs="Verdana"/>
          <w:snapToGrid w:val="0"/>
          <w:lang w:val="es-ES" w:eastAsia="es-ES" w:bidi="en-US"/>
        </w:rPr>
        <w:t xml:space="preserve">ni petición específica </w:t>
      </w:r>
      <w:r w:rsidRPr="00F955EE">
        <w:rPr>
          <w:rFonts w:eastAsia="MS Mincho" w:cs="Verdana"/>
          <w:snapToGrid w:val="0"/>
          <w:lang w:val="es-ES" w:eastAsia="es-ES" w:bidi="en-US"/>
        </w:rPr>
        <w:t xml:space="preserve">a este respecto, por lo que el Tribunal considera </w:t>
      </w:r>
      <w:r w:rsidR="00C1313A" w:rsidRPr="00F955EE">
        <w:rPr>
          <w:rFonts w:eastAsia="MS Mincho" w:cs="Verdana"/>
          <w:snapToGrid w:val="0"/>
          <w:lang w:val="es-ES" w:eastAsia="es-ES" w:bidi="en-US"/>
        </w:rPr>
        <w:t>que no es necesario que se pronuncie sobre este punto.</w:t>
      </w:r>
    </w:p>
    <w:p w14:paraId="27816793" w14:textId="514CF6EE" w:rsidR="002D77E4" w:rsidRPr="00F955EE" w:rsidRDefault="00B82619" w:rsidP="00B82619">
      <w:pPr>
        <w:pStyle w:val="Ttulo2"/>
        <w:rPr>
          <w:lang w:val="es-ES"/>
        </w:rPr>
      </w:pPr>
      <w:bookmarkStart w:id="120" w:name="_Toc43216177"/>
      <w:r w:rsidRPr="00F955EE">
        <w:rPr>
          <w:lang w:val="es-ES"/>
        </w:rPr>
        <w:t xml:space="preserve">I. </w:t>
      </w:r>
      <w:r w:rsidR="002D77E4" w:rsidRPr="00F955EE">
        <w:rPr>
          <w:lang w:val="es-ES"/>
        </w:rPr>
        <w:t>Reintegro de los gastos al Fondo de Asistencia Legal de Víctimas</w:t>
      </w:r>
      <w:bookmarkEnd w:id="115"/>
      <w:bookmarkEnd w:id="116"/>
      <w:bookmarkEnd w:id="117"/>
      <w:r w:rsidR="002D77E4" w:rsidRPr="00F955EE">
        <w:rPr>
          <w:lang w:val="es-ES"/>
        </w:rPr>
        <w:t xml:space="preserve"> de la Corte Interamericana</w:t>
      </w:r>
      <w:bookmarkEnd w:id="118"/>
      <w:bookmarkEnd w:id="119"/>
      <w:bookmarkEnd w:id="120"/>
    </w:p>
    <w:p w14:paraId="2A6F43B4" w14:textId="77777777" w:rsidR="002D77E4" w:rsidRPr="00F955EE" w:rsidRDefault="002D77E4" w:rsidP="004F0770">
      <w:pPr>
        <w:numPr>
          <w:ilvl w:val="0"/>
          <w:numId w:val="4"/>
        </w:numPr>
        <w:tabs>
          <w:tab w:val="left" w:pos="567"/>
          <w:tab w:val="num" w:pos="5057"/>
        </w:tabs>
        <w:ind w:left="0" w:firstLine="0"/>
        <w:rPr>
          <w:rFonts w:cs="Arial"/>
          <w:lang w:val="es-ES"/>
        </w:rPr>
      </w:pPr>
      <w:r w:rsidRPr="00F955EE">
        <w:rPr>
          <w:rFonts w:eastAsia="MS Mincho" w:cs="Verdana"/>
          <w:snapToGrid w:val="0"/>
          <w:lang w:val="es-ES" w:eastAsia="es-ES" w:bidi="en-US"/>
        </w:rPr>
        <w:t xml:space="preserve">En el 2008 la Asamblea General de la Organización de Estados Americanos creó el Fondo de </w:t>
      </w:r>
      <w:r w:rsidRPr="00F955EE">
        <w:rPr>
          <w:rFonts w:eastAsia="MS Mincho"/>
          <w:lang w:val="es-ES" w:bidi="en-US"/>
        </w:rPr>
        <w:t>Asistencia</w:t>
      </w:r>
      <w:r w:rsidRPr="00F955EE">
        <w:rPr>
          <w:rFonts w:eastAsia="MS Mincho" w:cs="Verdana"/>
          <w:snapToGrid w:val="0"/>
          <w:lang w:val="es-ES" w:eastAsia="es-ES" w:bidi="en-US"/>
        </w:rPr>
        <w:t xml:space="preserve"> Legal del Sistema Interamericano de Derechos Humanos, con el “objeto [de] facilitar acceso al sistema interamericano de derechos humanos a aquellas personas que actualmente no tienen los recursos necesarios para llevar su caso al sistema”</w:t>
      </w:r>
      <w:r w:rsidRPr="00F955EE">
        <w:rPr>
          <w:rFonts w:eastAsia="MS Mincho" w:cs="Verdana"/>
          <w:snapToGrid w:val="0"/>
          <w:vertAlign w:val="superscript"/>
          <w:lang w:val="es-ES" w:eastAsia="es-ES" w:bidi="en-US"/>
        </w:rPr>
        <w:footnoteReference w:id="147"/>
      </w:r>
      <w:r w:rsidRPr="00F955EE">
        <w:rPr>
          <w:rFonts w:eastAsia="MS Mincho" w:cs="Verdana"/>
          <w:snapToGrid w:val="0"/>
          <w:lang w:val="es-ES" w:eastAsia="es-ES" w:bidi="en-US"/>
        </w:rPr>
        <w:t xml:space="preserve">. </w:t>
      </w:r>
    </w:p>
    <w:p w14:paraId="098506F1" w14:textId="414FDF58" w:rsidR="002D77E4" w:rsidRPr="00F955EE" w:rsidRDefault="002D77E4" w:rsidP="002D77E4">
      <w:pPr>
        <w:tabs>
          <w:tab w:val="left" w:pos="567"/>
        </w:tabs>
        <w:rPr>
          <w:rFonts w:cs="Arial"/>
          <w:lang w:val="es-ES"/>
        </w:rPr>
      </w:pPr>
    </w:p>
    <w:p w14:paraId="2B5FF2EA" w14:textId="11D0E4DD" w:rsidR="008213B9" w:rsidRPr="00F955EE" w:rsidRDefault="002D77E4" w:rsidP="004F0770">
      <w:pPr>
        <w:numPr>
          <w:ilvl w:val="0"/>
          <w:numId w:val="4"/>
        </w:numPr>
        <w:tabs>
          <w:tab w:val="left" w:pos="567"/>
          <w:tab w:val="num" w:pos="5057"/>
        </w:tabs>
        <w:ind w:left="0" w:firstLine="0"/>
        <w:rPr>
          <w:rFonts w:eastAsia="MS Mincho" w:cs="Verdana"/>
          <w:snapToGrid w:val="0"/>
          <w:lang w:val="es-ES" w:eastAsia="es-ES" w:bidi="en-US"/>
        </w:rPr>
      </w:pPr>
      <w:r w:rsidRPr="00F955EE">
        <w:rPr>
          <w:rFonts w:eastAsia="MS Mincho" w:cs="Verdana"/>
          <w:snapToGrid w:val="0"/>
          <w:lang w:val="es-ES" w:eastAsia="es-ES" w:bidi="en-US"/>
        </w:rPr>
        <w:t xml:space="preserve">Mediante nota de Secretaría de la Corte de </w:t>
      </w:r>
      <w:r w:rsidR="00DD4AE9" w:rsidRPr="00F955EE">
        <w:rPr>
          <w:rFonts w:eastAsia="MS Mincho" w:cs="Verdana"/>
          <w:snapToGrid w:val="0"/>
          <w:lang w:val="es-ES" w:eastAsia="es-ES" w:bidi="en-US"/>
        </w:rPr>
        <w:t>8</w:t>
      </w:r>
      <w:r w:rsidRPr="00F955EE">
        <w:rPr>
          <w:rFonts w:eastAsia="MS Mincho" w:cs="Verdana"/>
          <w:snapToGrid w:val="0"/>
          <w:lang w:val="es-ES" w:eastAsia="es-ES" w:bidi="en-US"/>
        </w:rPr>
        <w:t xml:space="preserve"> de </w:t>
      </w:r>
      <w:r w:rsidR="0090048D" w:rsidRPr="00F955EE">
        <w:rPr>
          <w:rFonts w:eastAsia="MS Mincho" w:cs="Verdana"/>
          <w:snapToGrid w:val="0"/>
          <w:lang w:val="es-ES" w:eastAsia="es-ES" w:bidi="en-US"/>
        </w:rPr>
        <w:t>abril</w:t>
      </w:r>
      <w:r w:rsidRPr="00F955EE">
        <w:rPr>
          <w:rFonts w:eastAsia="MS Mincho" w:cs="Verdana"/>
          <w:snapToGrid w:val="0"/>
          <w:lang w:val="es-ES" w:eastAsia="es-ES" w:bidi="en-US"/>
        </w:rPr>
        <w:t xml:space="preserve"> de </w:t>
      </w:r>
      <w:r w:rsidR="00F078AF" w:rsidRPr="00F955EE">
        <w:rPr>
          <w:rFonts w:eastAsia="MS Mincho" w:cs="Verdana"/>
          <w:snapToGrid w:val="0"/>
          <w:lang w:val="es-ES" w:eastAsia="es-ES" w:bidi="en-US"/>
        </w:rPr>
        <w:t>2020</w:t>
      </w:r>
      <w:r w:rsidRPr="00F955EE">
        <w:rPr>
          <w:rFonts w:eastAsia="MS Mincho" w:cs="Verdana"/>
          <w:snapToGrid w:val="0"/>
          <w:lang w:val="es-ES" w:eastAsia="es-ES" w:bidi="en-US"/>
        </w:rPr>
        <w:t xml:space="preserve"> se remitió un informe al Estado sobre las erogaciones efectuadas en aplicación del Fondo de Asistencia Legal de Víctimas en el presente caso, las cuales ascendieron a la suma de USD$</w:t>
      </w:r>
      <w:r w:rsidR="0090048D" w:rsidRPr="00F955EE">
        <w:rPr>
          <w:rFonts w:eastAsia="MS Mincho" w:cs="Verdana"/>
          <w:snapToGrid w:val="0"/>
          <w:lang w:val="es-ES" w:eastAsia="es-ES" w:bidi="en-US"/>
        </w:rPr>
        <w:t xml:space="preserve"> 3,188.10</w:t>
      </w:r>
      <w:r w:rsidRPr="00F955EE">
        <w:rPr>
          <w:rFonts w:eastAsia="MS Mincho" w:cs="Verdana"/>
          <w:snapToGrid w:val="0"/>
          <w:lang w:val="es-ES" w:eastAsia="es-ES" w:bidi="en-US"/>
        </w:rPr>
        <w:t xml:space="preserve"> (</w:t>
      </w:r>
      <w:r w:rsidR="0090048D" w:rsidRPr="00F955EE">
        <w:rPr>
          <w:rFonts w:eastAsia="MS Mincho" w:cs="Verdana"/>
          <w:snapToGrid w:val="0"/>
          <w:lang w:val="es-ES" w:eastAsia="es-ES" w:bidi="en-US"/>
        </w:rPr>
        <w:t xml:space="preserve">tres mil ciento ochenta y ocho </w:t>
      </w:r>
      <w:r w:rsidRPr="00F955EE">
        <w:rPr>
          <w:rFonts w:eastAsia="MS Mincho" w:cs="Verdana"/>
          <w:snapToGrid w:val="0"/>
          <w:lang w:val="es-ES" w:eastAsia="es-ES" w:bidi="en-US"/>
        </w:rPr>
        <w:t xml:space="preserve">dólares </w:t>
      </w:r>
      <w:r w:rsidR="0090048D" w:rsidRPr="00F955EE">
        <w:rPr>
          <w:rFonts w:eastAsia="MS Mincho" w:cs="Verdana"/>
          <w:snapToGrid w:val="0"/>
          <w:lang w:val="es-ES" w:eastAsia="es-ES" w:bidi="en-US"/>
        </w:rPr>
        <w:t xml:space="preserve">con diez centavos </w:t>
      </w:r>
      <w:r w:rsidRPr="00F955EE">
        <w:rPr>
          <w:rFonts w:eastAsia="MS Mincho" w:cs="Verdana"/>
          <w:snapToGrid w:val="0"/>
          <w:lang w:val="es-ES" w:eastAsia="es-ES" w:bidi="en-US"/>
        </w:rPr>
        <w:t xml:space="preserve">de los Estados Unidos de América) y, según lo dispuesto en el artículo 5 del Reglamento de la Corte sobre el Funcionamiento del referido Fondo, se otorgó un plazo para que </w:t>
      </w:r>
      <w:r w:rsidR="00DD4AE9" w:rsidRPr="00F955EE">
        <w:rPr>
          <w:rFonts w:eastAsia="MS Mincho" w:cs="Verdana"/>
          <w:snapToGrid w:val="0"/>
          <w:lang w:val="es-ES" w:eastAsia="es-ES" w:bidi="en-US"/>
        </w:rPr>
        <w:t>Nicaragua</w:t>
      </w:r>
      <w:r w:rsidRPr="00F955EE">
        <w:rPr>
          <w:rFonts w:eastAsia="MS Mincho" w:cs="Verdana"/>
          <w:snapToGrid w:val="0"/>
          <w:lang w:val="es-ES" w:eastAsia="es-ES" w:bidi="en-US"/>
        </w:rPr>
        <w:t xml:space="preserve"> presentara las observaciones que estimara pertinentes. El Estado presentó sus observaciones el </w:t>
      </w:r>
      <w:r w:rsidR="00DD4AE9" w:rsidRPr="00F955EE">
        <w:rPr>
          <w:rFonts w:eastAsia="MS Mincho" w:cs="Verdana"/>
          <w:snapToGrid w:val="0"/>
          <w:lang w:val="es-ES" w:eastAsia="es-ES" w:bidi="en-US"/>
        </w:rPr>
        <w:t>22</w:t>
      </w:r>
      <w:r w:rsidRPr="00F955EE">
        <w:rPr>
          <w:rFonts w:eastAsia="MS Mincho" w:cs="Verdana"/>
          <w:snapToGrid w:val="0"/>
          <w:lang w:val="es-ES" w:eastAsia="es-ES" w:bidi="en-US"/>
        </w:rPr>
        <w:t xml:space="preserve"> de </w:t>
      </w:r>
      <w:r w:rsidR="00DD4AE9" w:rsidRPr="00F955EE">
        <w:rPr>
          <w:rFonts w:eastAsia="MS Mincho" w:cs="Verdana"/>
          <w:snapToGrid w:val="0"/>
          <w:lang w:val="es-ES" w:eastAsia="es-ES" w:bidi="en-US"/>
        </w:rPr>
        <w:t>abril</w:t>
      </w:r>
      <w:r w:rsidRPr="00F955EE">
        <w:rPr>
          <w:rFonts w:eastAsia="MS Mincho" w:cs="Verdana"/>
          <w:snapToGrid w:val="0"/>
          <w:lang w:val="es-ES" w:eastAsia="es-ES" w:bidi="en-US"/>
        </w:rPr>
        <w:t xml:space="preserve"> de </w:t>
      </w:r>
      <w:r w:rsidR="00F078AF" w:rsidRPr="00F955EE">
        <w:rPr>
          <w:rFonts w:eastAsia="MS Mincho" w:cs="Verdana"/>
          <w:snapToGrid w:val="0"/>
          <w:lang w:val="es-ES" w:eastAsia="es-ES" w:bidi="en-US"/>
        </w:rPr>
        <w:t>2020</w:t>
      </w:r>
      <w:r w:rsidRPr="00F955EE">
        <w:rPr>
          <w:rFonts w:eastAsia="MS Mincho" w:cs="Verdana"/>
          <w:snapToGrid w:val="0"/>
          <w:lang w:val="es-ES" w:eastAsia="es-ES" w:bidi="en-US"/>
        </w:rPr>
        <w:t xml:space="preserve">, en las cuales </w:t>
      </w:r>
      <w:r w:rsidR="00F078AF" w:rsidRPr="00F955EE">
        <w:rPr>
          <w:rFonts w:eastAsia="MS Mincho" w:cs="Verdana"/>
          <w:snapToGrid w:val="0"/>
          <w:lang w:val="es-ES" w:eastAsia="es-ES" w:bidi="en-US"/>
        </w:rPr>
        <w:t xml:space="preserve">manifestó </w:t>
      </w:r>
      <w:r w:rsidRPr="00F955EE">
        <w:rPr>
          <w:rFonts w:eastAsia="MS Mincho" w:cs="Verdana"/>
          <w:snapToGrid w:val="0"/>
          <w:lang w:val="es-ES" w:eastAsia="es-ES" w:bidi="en-US"/>
        </w:rPr>
        <w:t xml:space="preserve">que </w:t>
      </w:r>
      <w:r w:rsidR="00DD4AE9" w:rsidRPr="00F955EE">
        <w:rPr>
          <w:rFonts w:eastAsia="MS Mincho" w:cs="Verdana"/>
          <w:snapToGrid w:val="0"/>
          <w:lang w:val="es-ES" w:eastAsia="es-ES" w:bidi="en-US"/>
        </w:rPr>
        <w:t xml:space="preserve">la suma total indicada la consideraba “dentro de lo razonable”, señalando que cualquier otro gasto del Fondo distinto al señalado no sería “aceptable”. </w:t>
      </w:r>
    </w:p>
    <w:p w14:paraId="29AEE9E1" w14:textId="77777777" w:rsidR="00DD4AE9" w:rsidRPr="00F955EE" w:rsidRDefault="00DD4AE9" w:rsidP="00DD4AE9">
      <w:pPr>
        <w:tabs>
          <w:tab w:val="left" w:pos="567"/>
        </w:tabs>
        <w:rPr>
          <w:rFonts w:eastAsia="MS Mincho" w:cs="Verdana"/>
          <w:snapToGrid w:val="0"/>
          <w:lang w:val="es-ES" w:eastAsia="es-ES" w:bidi="en-US"/>
        </w:rPr>
      </w:pPr>
    </w:p>
    <w:p w14:paraId="0FFE9741" w14:textId="76B21A7B" w:rsidR="002D77E4" w:rsidRPr="00F955EE" w:rsidRDefault="002D77E4" w:rsidP="004F0770">
      <w:pPr>
        <w:numPr>
          <w:ilvl w:val="0"/>
          <w:numId w:val="4"/>
        </w:numPr>
        <w:tabs>
          <w:tab w:val="left" w:pos="567"/>
          <w:tab w:val="num" w:pos="5057"/>
        </w:tabs>
        <w:ind w:left="0" w:firstLine="0"/>
        <w:rPr>
          <w:rFonts w:eastAsia="MS Mincho" w:cs="Verdana"/>
          <w:snapToGrid w:val="0"/>
          <w:lang w:val="es-ES" w:eastAsia="es-ES" w:bidi="en-US"/>
        </w:rPr>
      </w:pPr>
      <w:r w:rsidRPr="00F955EE">
        <w:rPr>
          <w:rFonts w:eastAsia="MS Mincho" w:cs="Verdana"/>
          <w:snapToGrid w:val="0"/>
          <w:lang w:val="es-ES" w:eastAsia="es-ES" w:bidi="en-US"/>
        </w:rPr>
        <w:t xml:space="preserve">A la luz del artículo 5 del Reglamento del Fondo, en razón de las violaciones declaradas en la presente Sentencia y que se cumplió con los requisitos para acogerse al Fondo, la Corte ordena al Estado el reintegro a dicho Fondo de la cantidad de </w:t>
      </w:r>
      <w:r w:rsidR="0090048D" w:rsidRPr="00F955EE">
        <w:rPr>
          <w:rFonts w:eastAsia="MS Mincho" w:cs="Verdana"/>
          <w:snapToGrid w:val="0"/>
          <w:lang w:val="es-ES" w:eastAsia="es-ES" w:bidi="en-US"/>
        </w:rPr>
        <w:t>USD$ 3,188.10 (tres mil ciento ochenta y ocho dólares con diez centavos de los Estados Unidos de América</w:t>
      </w:r>
      <w:r w:rsidRPr="00F955EE">
        <w:rPr>
          <w:rFonts w:eastAsia="MS Mincho" w:cs="Verdana"/>
          <w:snapToGrid w:val="0"/>
          <w:lang w:val="es-ES" w:eastAsia="es-ES" w:bidi="en-US"/>
        </w:rPr>
        <w:t>) por concepto de los gastos necesarios realizados. Dicha cantidad deberá ser reintegrada en el plazo de seis meses, contados a partir de la notificación del presente Fallo.</w:t>
      </w:r>
    </w:p>
    <w:p w14:paraId="339C0BDA" w14:textId="490ED7B0" w:rsidR="00287F90" w:rsidRPr="00F955EE" w:rsidRDefault="00B82619" w:rsidP="00287F90">
      <w:pPr>
        <w:pStyle w:val="Ttulo2"/>
        <w:rPr>
          <w:lang w:val="es-ES"/>
        </w:rPr>
      </w:pPr>
      <w:bookmarkStart w:id="121" w:name="_Toc514172674"/>
      <w:bookmarkStart w:id="122" w:name="_Toc476390748"/>
      <w:bookmarkStart w:id="123" w:name="_Toc495658706"/>
      <w:bookmarkStart w:id="124" w:name="_Toc15933783"/>
      <w:bookmarkStart w:id="125" w:name="_Toc33017907"/>
      <w:bookmarkStart w:id="126" w:name="_Toc43216178"/>
      <w:r w:rsidRPr="00F955EE">
        <w:rPr>
          <w:lang w:val="es-ES"/>
        </w:rPr>
        <w:t>J</w:t>
      </w:r>
      <w:r w:rsidR="002D77E4" w:rsidRPr="00F955EE">
        <w:rPr>
          <w:lang w:val="es-ES"/>
        </w:rPr>
        <w:t>. Modalidad de cumplimiento de los pagos ordenados</w:t>
      </w:r>
      <w:bookmarkEnd w:id="121"/>
      <w:bookmarkEnd w:id="122"/>
      <w:bookmarkEnd w:id="123"/>
      <w:bookmarkEnd w:id="124"/>
      <w:bookmarkEnd w:id="125"/>
      <w:bookmarkEnd w:id="126"/>
    </w:p>
    <w:p w14:paraId="0334DC96" w14:textId="576215DC" w:rsidR="00287F90" w:rsidRPr="00F955EE" w:rsidRDefault="00287F90" w:rsidP="004F0770">
      <w:pPr>
        <w:numPr>
          <w:ilvl w:val="0"/>
          <w:numId w:val="4"/>
        </w:numPr>
        <w:tabs>
          <w:tab w:val="left" w:pos="567"/>
          <w:tab w:val="num" w:pos="5057"/>
        </w:tabs>
        <w:ind w:left="0" w:firstLine="0"/>
        <w:rPr>
          <w:rFonts w:eastAsia="MS Mincho"/>
          <w:lang w:val="es-ES" w:bidi="en-US"/>
        </w:rPr>
      </w:pPr>
      <w:bookmarkStart w:id="127" w:name="_Ref512872975"/>
      <w:r w:rsidRPr="00F955EE">
        <w:rPr>
          <w:rFonts w:eastAsia="SimSun"/>
          <w:lang w:val="es-ES"/>
        </w:rPr>
        <w:t xml:space="preserve">El Estado deberá efectuar el pago de las indemnizaciones por concepto de </w:t>
      </w:r>
      <w:r w:rsidR="00447C0D" w:rsidRPr="00F955EE">
        <w:rPr>
          <w:rFonts w:eastAsia="SimSun"/>
          <w:lang w:val="es-ES"/>
        </w:rPr>
        <w:t>rehabilitación,</w:t>
      </w:r>
      <w:r w:rsidR="00563CA7">
        <w:rPr>
          <w:rFonts w:eastAsia="SimSun"/>
          <w:lang w:val="es-ES"/>
        </w:rPr>
        <w:t xml:space="preserve"> así como</w:t>
      </w:r>
      <w:r w:rsidR="00447C0D" w:rsidRPr="00F955EE">
        <w:rPr>
          <w:rFonts w:eastAsia="SimSun"/>
          <w:lang w:val="es-ES"/>
        </w:rPr>
        <w:t xml:space="preserve"> </w:t>
      </w:r>
      <w:r w:rsidR="00643BE9">
        <w:rPr>
          <w:rFonts w:eastAsia="SimSun"/>
          <w:lang w:val="es-ES"/>
        </w:rPr>
        <w:t xml:space="preserve">de </w:t>
      </w:r>
      <w:r w:rsidRPr="00F955EE">
        <w:rPr>
          <w:rFonts w:eastAsia="SimSun"/>
          <w:lang w:val="es-ES"/>
        </w:rPr>
        <w:t>daño material e inmaterial establecidos en la presente Sentencia</w:t>
      </w:r>
      <w:r w:rsidR="00563CA7">
        <w:rPr>
          <w:rFonts w:eastAsia="SimSun"/>
          <w:lang w:val="es-ES"/>
        </w:rPr>
        <w:t xml:space="preserve">, </w:t>
      </w:r>
      <w:r w:rsidRPr="00F955EE">
        <w:rPr>
          <w:rFonts w:eastAsia="SimSun"/>
          <w:lang w:val="es-ES"/>
        </w:rPr>
        <w:t>directamente a la</w:t>
      </w:r>
      <w:r w:rsidR="005537A1" w:rsidRPr="00F955EE">
        <w:rPr>
          <w:rFonts w:eastAsia="SimSun"/>
          <w:lang w:val="es-ES"/>
        </w:rPr>
        <w:t>s</w:t>
      </w:r>
      <w:r w:rsidRPr="00F955EE">
        <w:rPr>
          <w:rFonts w:eastAsia="SimSun"/>
          <w:lang w:val="es-ES"/>
        </w:rPr>
        <w:t xml:space="preserve"> personas indicadas en la misma, dentro del plazo de un año contado a partir de la notificación de la presente Sentencia</w:t>
      </w:r>
      <w:bookmarkEnd w:id="127"/>
      <w:r w:rsidRPr="00F955EE">
        <w:rPr>
          <w:rFonts w:eastAsia="SimSun"/>
          <w:lang w:val="es-ES"/>
        </w:rPr>
        <w:t>, sin perjuicio de que pueda adelantar el pago completo en un plazo menor, en los términos de los siguientes párrafos</w:t>
      </w:r>
      <w:r w:rsidRPr="00F955EE">
        <w:rPr>
          <w:rFonts w:eastAsia="MS Mincho"/>
          <w:lang w:val="es-ES" w:bidi="en-US"/>
        </w:rPr>
        <w:t>.</w:t>
      </w:r>
    </w:p>
    <w:p w14:paraId="1DFF285B" w14:textId="77777777" w:rsidR="00287F90" w:rsidRPr="00F955EE" w:rsidRDefault="00287F90" w:rsidP="00287F90">
      <w:pPr>
        <w:rPr>
          <w:rFonts w:eastAsia="SimSun" w:cs="Vrinda"/>
          <w:lang w:val="es-ES" w:bidi="en-US"/>
        </w:rPr>
      </w:pPr>
    </w:p>
    <w:p w14:paraId="60BBF7F0" w14:textId="383687C6" w:rsidR="00287F90" w:rsidRPr="00F955EE" w:rsidRDefault="00287F90" w:rsidP="004F0770">
      <w:pPr>
        <w:numPr>
          <w:ilvl w:val="0"/>
          <w:numId w:val="4"/>
        </w:numPr>
        <w:tabs>
          <w:tab w:val="left" w:pos="567"/>
          <w:tab w:val="num" w:pos="5057"/>
        </w:tabs>
        <w:ind w:left="0" w:firstLine="0"/>
        <w:rPr>
          <w:rFonts w:eastAsia="SimSun" w:cs="Vrinda"/>
          <w:lang w:val="es-ES" w:bidi="en-US"/>
        </w:rPr>
      </w:pPr>
      <w:r w:rsidRPr="00F955EE">
        <w:rPr>
          <w:rFonts w:eastAsia="SimSun"/>
          <w:lang w:val="es-ES"/>
        </w:rPr>
        <w:t xml:space="preserve">En caso de que </w:t>
      </w:r>
      <w:r w:rsidR="00B030A1" w:rsidRPr="00F955EE">
        <w:rPr>
          <w:rFonts w:eastAsia="SimSun"/>
          <w:lang w:val="es-ES"/>
        </w:rPr>
        <w:t>l</w:t>
      </w:r>
      <w:r w:rsidRPr="00F955EE">
        <w:rPr>
          <w:rFonts w:eastAsia="SimSun"/>
          <w:lang w:val="es-ES"/>
        </w:rPr>
        <w:t xml:space="preserve">os beneficiarios hayan fallecido o fallezcan antes de que les sea entregada la </w:t>
      </w:r>
      <w:r w:rsidRPr="00F955EE">
        <w:rPr>
          <w:rFonts w:eastAsia="MS Mincho"/>
          <w:lang w:val="es-ES" w:bidi="en-US"/>
        </w:rPr>
        <w:t>cantidad</w:t>
      </w:r>
      <w:r w:rsidRPr="00F955EE">
        <w:rPr>
          <w:rFonts w:eastAsia="SimSun"/>
          <w:lang w:val="es-ES"/>
        </w:rPr>
        <w:t xml:space="preserve"> respectiva, esta se entregará directamente a sus derechohabientes, conforme al derecho interno aplicable.</w:t>
      </w:r>
    </w:p>
    <w:p w14:paraId="26238A9B" w14:textId="77777777" w:rsidR="00287F90" w:rsidRPr="00F955EE" w:rsidRDefault="00287F90" w:rsidP="00287F90">
      <w:pPr>
        <w:rPr>
          <w:rFonts w:eastAsia="SimSun" w:cs="Vrinda"/>
          <w:lang w:val="es-ES" w:bidi="en-US"/>
        </w:rPr>
      </w:pPr>
    </w:p>
    <w:p w14:paraId="3C891CAC" w14:textId="77777777" w:rsidR="00287F90" w:rsidRPr="00F955EE" w:rsidRDefault="00287F90" w:rsidP="004F0770">
      <w:pPr>
        <w:numPr>
          <w:ilvl w:val="0"/>
          <w:numId w:val="4"/>
        </w:numPr>
        <w:tabs>
          <w:tab w:val="left" w:pos="567"/>
          <w:tab w:val="num" w:pos="5057"/>
        </w:tabs>
        <w:ind w:left="0" w:firstLine="0"/>
        <w:rPr>
          <w:rFonts w:eastAsia="SimSun" w:cs="Vrinda"/>
          <w:lang w:val="es-ES" w:bidi="en-US"/>
        </w:rPr>
      </w:pPr>
      <w:r w:rsidRPr="00F955EE">
        <w:rPr>
          <w:rFonts w:eastAsia="SimSun"/>
          <w:lang w:val="es-ES"/>
        </w:rPr>
        <w:t xml:space="preserve">El Estado deberá cumplir con las obligaciones monetarias mediante el pago en dólares de los Estados Unidos de América o su equivalente en moneda nacional, utilizando para el cálculo respectivo el </w:t>
      </w:r>
      <w:r w:rsidRPr="00F955EE">
        <w:rPr>
          <w:rFonts w:eastAsia="MS Mincho"/>
          <w:lang w:val="es-ES" w:bidi="en-US"/>
        </w:rPr>
        <w:t>tipo</w:t>
      </w:r>
      <w:r w:rsidRPr="00F955EE">
        <w:rPr>
          <w:rFonts w:eastAsia="SimSun"/>
          <w:lang w:val="es-ES"/>
        </w:rPr>
        <w:t xml:space="preserve"> de cambio que se encuentre vigente en la bolsa de Nueva York, Estados Unidos de América, el día anterior al pago.</w:t>
      </w:r>
    </w:p>
    <w:p w14:paraId="731DCD72" w14:textId="77777777" w:rsidR="00287F90" w:rsidRPr="00F955EE" w:rsidRDefault="00287F90" w:rsidP="00287F90">
      <w:pPr>
        <w:rPr>
          <w:rFonts w:eastAsia="SimSun" w:cs="Vrinda"/>
          <w:lang w:val="es-ES" w:bidi="en-US"/>
        </w:rPr>
      </w:pPr>
    </w:p>
    <w:p w14:paraId="595F7BE2" w14:textId="01B3DF46" w:rsidR="00287F90" w:rsidRPr="00F955EE" w:rsidRDefault="00287F90" w:rsidP="004F0770">
      <w:pPr>
        <w:numPr>
          <w:ilvl w:val="0"/>
          <w:numId w:val="4"/>
        </w:numPr>
        <w:tabs>
          <w:tab w:val="left" w:pos="567"/>
          <w:tab w:val="num" w:pos="5057"/>
        </w:tabs>
        <w:ind w:left="0" w:firstLine="0"/>
        <w:rPr>
          <w:rFonts w:eastAsia="SimSun" w:cs="Vrinda"/>
          <w:lang w:val="es-ES" w:bidi="en-US"/>
        </w:rPr>
      </w:pPr>
      <w:r w:rsidRPr="00F955EE">
        <w:rPr>
          <w:rFonts w:eastAsia="SimSun"/>
          <w:lang w:val="es-ES"/>
        </w:rPr>
        <w:t xml:space="preserve">Si por causas atribuibles a los beneficiarios de las indemnizaciones o a sus derechohabientes no fuese posible el pago de las cantidades determinadas dentro del plazo indicado, el Estado consignará dichos montos a su favor en una cuenta o certificado de depósito en </w:t>
      </w:r>
      <w:r w:rsidRPr="00F955EE">
        <w:rPr>
          <w:rFonts w:eastAsia="MS Mincho"/>
          <w:lang w:val="es-ES" w:bidi="en-US"/>
        </w:rPr>
        <w:t>una</w:t>
      </w:r>
      <w:r w:rsidRPr="00F955EE">
        <w:rPr>
          <w:rFonts w:eastAsia="SimSun"/>
          <w:lang w:val="es-ES"/>
        </w:rPr>
        <w:t xml:space="preserve"> institución financiera </w:t>
      </w:r>
      <w:r w:rsidR="0009794F" w:rsidRPr="00F955EE">
        <w:rPr>
          <w:rFonts w:eastAsia="SimSun"/>
          <w:lang w:val="es-ES"/>
        </w:rPr>
        <w:t xml:space="preserve">nicaragüense </w:t>
      </w:r>
      <w:r w:rsidRPr="00F955EE">
        <w:rPr>
          <w:rFonts w:eastAsia="SimSun"/>
          <w:lang w:val="es-ES"/>
        </w:rPr>
        <w:t>solvente, en dólares de los Estados Unidos de América, y en las condiciones financieras más favorables que permitan la legislación y la práctica bancaria. Si no se reclama la indemnización correspondiente una vez transcurridos diez años, las cantidades serán devueltas al Estado con los intereses devengados.</w:t>
      </w:r>
    </w:p>
    <w:p w14:paraId="3F20757A" w14:textId="77777777" w:rsidR="00287F90" w:rsidRPr="00F955EE" w:rsidRDefault="00287F90" w:rsidP="00287F90">
      <w:pPr>
        <w:rPr>
          <w:rFonts w:eastAsia="SimSun" w:cs="Vrinda"/>
          <w:lang w:val="es-ES" w:bidi="en-US"/>
        </w:rPr>
      </w:pPr>
    </w:p>
    <w:p w14:paraId="5B47A422" w14:textId="3B712DF4" w:rsidR="00287F90" w:rsidRPr="00F955EE" w:rsidRDefault="00287F90" w:rsidP="004F0770">
      <w:pPr>
        <w:numPr>
          <w:ilvl w:val="0"/>
          <w:numId w:val="4"/>
        </w:numPr>
        <w:tabs>
          <w:tab w:val="left" w:pos="567"/>
          <w:tab w:val="num" w:pos="5057"/>
        </w:tabs>
        <w:ind w:left="0" w:firstLine="0"/>
        <w:rPr>
          <w:rFonts w:eastAsia="SimSun" w:cs="Vrinda"/>
          <w:lang w:val="es-ES" w:bidi="en-US"/>
        </w:rPr>
      </w:pPr>
      <w:r w:rsidRPr="00F955EE">
        <w:rPr>
          <w:rFonts w:eastAsia="SimSun"/>
          <w:lang w:val="es-ES"/>
        </w:rPr>
        <w:t xml:space="preserve">Las cantidades asignadas en la presente Sentencia </w:t>
      </w:r>
      <w:r w:rsidR="004168BF" w:rsidRPr="00F955EE">
        <w:rPr>
          <w:rFonts w:eastAsia="SimSun"/>
          <w:lang w:val="es-ES"/>
        </w:rPr>
        <w:t xml:space="preserve">en concepto de rehabilitación, así </w:t>
      </w:r>
      <w:r w:rsidRPr="00F955EE">
        <w:rPr>
          <w:rFonts w:eastAsia="SimSun"/>
          <w:lang w:val="es-ES"/>
        </w:rPr>
        <w:t xml:space="preserve">como </w:t>
      </w:r>
      <w:r w:rsidR="004168BF" w:rsidRPr="00F955EE">
        <w:rPr>
          <w:rFonts w:eastAsia="SimSun"/>
          <w:lang w:val="es-ES"/>
        </w:rPr>
        <w:t xml:space="preserve">por </w:t>
      </w:r>
      <w:r w:rsidRPr="00F955EE">
        <w:rPr>
          <w:rFonts w:eastAsia="SimSun"/>
          <w:lang w:val="es-ES"/>
        </w:rPr>
        <w:t>indemnización po</w:t>
      </w:r>
      <w:r w:rsidR="004168BF" w:rsidRPr="00F955EE">
        <w:rPr>
          <w:rFonts w:eastAsia="SimSun"/>
          <w:lang w:val="es-ES"/>
        </w:rPr>
        <w:t xml:space="preserve">r </w:t>
      </w:r>
      <w:r w:rsidRPr="00F955EE">
        <w:rPr>
          <w:rFonts w:eastAsia="SimSun"/>
          <w:lang w:val="es-ES"/>
        </w:rPr>
        <w:t>daños materiales e inmateriales</w:t>
      </w:r>
      <w:r w:rsidR="0009794F" w:rsidRPr="00F955EE">
        <w:rPr>
          <w:rFonts w:eastAsia="SimSun"/>
          <w:lang w:val="es-ES"/>
        </w:rPr>
        <w:t xml:space="preserve"> </w:t>
      </w:r>
      <w:r w:rsidRPr="00F955EE">
        <w:rPr>
          <w:rFonts w:eastAsia="SimSun"/>
          <w:lang w:val="es-ES"/>
        </w:rPr>
        <w:t>deberán ser entregadas a las personas indicada</w:t>
      </w:r>
      <w:r w:rsidR="00B030A1" w:rsidRPr="00F955EE">
        <w:rPr>
          <w:rFonts w:eastAsia="SimSun"/>
          <w:lang w:val="es-ES"/>
        </w:rPr>
        <w:t>s</w:t>
      </w:r>
      <w:r w:rsidRPr="00F955EE">
        <w:rPr>
          <w:rFonts w:eastAsia="SimSun"/>
          <w:lang w:val="es-ES"/>
        </w:rPr>
        <w:t xml:space="preserve"> en forma íntegra, conforme a lo establecido en esta Sentencia, sin reducciones derivadas de eventuales cargas fiscales.</w:t>
      </w:r>
      <w:bookmarkStart w:id="128" w:name="_Ref469940442"/>
    </w:p>
    <w:p w14:paraId="66708BE2" w14:textId="77777777" w:rsidR="00287F90" w:rsidRPr="00F955EE" w:rsidRDefault="00287F90" w:rsidP="00287F90">
      <w:pPr>
        <w:rPr>
          <w:rFonts w:eastAsia="SimSun" w:cs="Vrinda"/>
          <w:lang w:val="es-ES" w:bidi="en-US"/>
        </w:rPr>
      </w:pPr>
    </w:p>
    <w:p w14:paraId="432728BE" w14:textId="240F382E" w:rsidR="00B14CAC" w:rsidRDefault="00287F90" w:rsidP="004F0770">
      <w:pPr>
        <w:numPr>
          <w:ilvl w:val="0"/>
          <w:numId w:val="4"/>
        </w:numPr>
        <w:tabs>
          <w:tab w:val="left" w:pos="567"/>
          <w:tab w:val="num" w:pos="5057"/>
        </w:tabs>
        <w:ind w:left="0" w:firstLine="0"/>
        <w:rPr>
          <w:rFonts w:eastAsia="Batang" w:cs="Times"/>
          <w:noProof/>
          <w:lang w:val="es-ES"/>
        </w:rPr>
      </w:pPr>
      <w:r w:rsidRPr="00F955EE">
        <w:rPr>
          <w:rFonts w:eastAsia="Batang" w:cs="Times"/>
          <w:noProof/>
          <w:lang w:val="es-ES"/>
        </w:rPr>
        <w:t xml:space="preserve">En caso de que el Estado incurriera en mora, incluyendo en el reintegro de los gastos al Fondo de </w:t>
      </w:r>
      <w:r w:rsidRPr="00F955EE">
        <w:rPr>
          <w:rFonts w:eastAsia="MS Mincho"/>
          <w:lang w:val="es-ES" w:bidi="en-US"/>
        </w:rPr>
        <w:t>Asistencia</w:t>
      </w:r>
      <w:r w:rsidRPr="00F955EE">
        <w:rPr>
          <w:rFonts w:eastAsia="Batang" w:cs="Times"/>
          <w:noProof/>
          <w:lang w:val="es-ES"/>
        </w:rPr>
        <w:t xml:space="preserve"> Legal de Víctimas, deberá pagar un interés sobre la cantidad adeudada correspondiente al interés bancario moratorio en la República </w:t>
      </w:r>
      <w:bookmarkEnd w:id="128"/>
      <w:r w:rsidRPr="00F955EE">
        <w:rPr>
          <w:rFonts w:eastAsia="Batang" w:cs="Times"/>
          <w:noProof/>
          <w:lang w:val="es-ES"/>
        </w:rPr>
        <w:t>de Nicaragua</w:t>
      </w:r>
      <w:r w:rsidR="00B030A1" w:rsidRPr="00F955EE">
        <w:rPr>
          <w:rFonts w:eastAsia="Batang" w:cs="Times"/>
          <w:noProof/>
          <w:lang w:val="es-ES"/>
        </w:rPr>
        <w:t>.</w:t>
      </w:r>
    </w:p>
    <w:p w14:paraId="60F4A29D" w14:textId="78FE58C1" w:rsidR="0057384A" w:rsidRPr="00B14CAC" w:rsidRDefault="00B14CAC" w:rsidP="00B14CAC">
      <w:pPr>
        <w:widowControl/>
        <w:adjustRightInd/>
        <w:spacing w:after="160" w:line="259" w:lineRule="auto"/>
        <w:jc w:val="left"/>
        <w:textAlignment w:val="auto"/>
        <w:rPr>
          <w:rFonts w:eastAsia="Batang" w:cs="Times"/>
          <w:noProof/>
          <w:lang w:val="es-ES"/>
        </w:rPr>
      </w:pPr>
      <w:r>
        <w:rPr>
          <w:rFonts w:eastAsia="Batang" w:cs="Times"/>
          <w:noProof/>
          <w:lang w:val="es-ES"/>
        </w:rPr>
        <w:br w:type="page"/>
      </w:r>
    </w:p>
    <w:p w14:paraId="00FDAF94" w14:textId="7160C4D6" w:rsidR="00935AEC" w:rsidRPr="00F955EE" w:rsidRDefault="00883164" w:rsidP="0022484A">
      <w:pPr>
        <w:pStyle w:val="Ttulo1"/>
        <w:rPr>
          <w:lang w:val="es-ES"/>
        </w:rPr>
      </w:pPr>
      <w:bookmarkStart w:id="129" w:name="_Toc24447115"/>
      <w:bookmarkStart w:id="130" w:name="_Toc43216179"/>
      <w:r w:rsidRPr="00F955EE">
        <w:rPr>
          <w:lang w:val="es-ES"/>
        </w:rPr>
        <w:t>VIII</w:t>
      </w:r>
      <w:r w:rsidR="005B0504" w:rsidRPr="00F955EE">
        <w:rPr>
          <w:lang w:val="es-ES"/>
        </w:rPr>
        <w:br/>
        <w:t>PUNTOS RESOLUTIVOS</w:t>
      </w:r>
      <w:bookmarkEnd w:id="76"/>
      <w:bookmarkEnd w:id="77"/>
      <w:bookmarkEnd w:id="78"/>
      <w:bookmarkEnd w:id="79"/>
      <w:bookmarkEnd w:id="80"/>
      <w:bookmarkEnd w:id="81"/>
      <w:bookmarkEnd w:id="82"/>
      <w:bookmarkEnd w:id="129"/>
      <w:bookmarkEnd w:id="130"/>
    </w:p>
    <w:p w14:paraId="7525F6A4" w14:textId="5866F624" w:rsidR="001B680E" w:rsidRPr="00F955EE" w:rsidRDefault="00C01360" w:rsidP="00E06F63">
      <w:pPr>
        <w:tabs>
          <w:tab w:val="left" w:pos="720"/>
        </w:tabs>
        <w:spacing w:before="360" w:after="360" w:line="20" w:lineRule="atLeast"/>
        <w:ind w:right="-86"/>
        <w:contextualSpacing/>
        <w:rPr>
          <w:rFonts w:eastAsia="MS Mincho"/>
          <w:b/>
          <w:bCs/>
          <w:lang w:val="es-ES" w:bidi="en-US"/>
        </w:rPr>
      </w:pPr>
      <w:r w:rsidRPr="00F955EE">
        <w:rPr>
          <w:rFonts w:eastAsia="MS Mincho"/>
          <w:b/>
          <w:bCs/>
          <w:lang w:val="es-ES" w:bidi="en-US"/>
        </w:rPr>
        <w:t>LA CORTE</w:t>
      </w:r>
    </w:p>
    <w:p w14:paraId="4C73DB87" w14:textId="77777777" w:rsidR="001B680E" w:rsidRPr="00F955EE" w:rsidRDefault="001B680E" w:rsidP="00E06F63">
      <w:pPr>
        <w:tabs>
          <w:tab w:val="left" w:pos="720"/>
        </w:tabs>
        <w:spacing w:line="20" w:lineRule="atLeast"/>
        <w:ind w:right="-90"/>
        <w:contextualSpacing/>
        <w:rPr>
          <w:lang w:val="es-ES"/>
        </w:rPr>
      </w:pPr>
    </w:p>
    <w:p w14:paraId="233758B3" w14:textId="77777777" w:rsidR="00C01360" w:rsidRPr="00F955EE" w:rsidRDefault="00C01360" w:rsidP="00C01360">
      <w:pPr>
        <w:tabs>
          <w:tab w:val="left" w:pos="720"/>
        </w:tabs>
        <w:spacing w:before="360" w:after="360" w:line="20" w:lineRule="atLeast"/>
        <w:ind w:right="-86"/>
        <w:contextualSpacing/>
        <w:rPr>
          <w:rFonts w:eastAsia="MS Mincho"/>
          <w:b/>
          <w:bCs/>
          <w:lang w:val="es-ES" w:bidi="en-US"/>
        </w:rPr>
      </w:pPr>
      <w:r w:rsidRPr="00F955EE">
        <w:rPr>
          <w:rFonts w:eastAsia="MS Mincho"/>
          <w:b/>
          <w:bCs/>
          <w:lang w:val="es-ES" w:bidi="en-US"/>
        </w:rPr>
        <w:t>DECLARA,</w:t>
      </w:r>
    </w:p>
    <w:p w14:paraId="1D529895" w14:textId="77777777" w:rsidR="00C01360" w:rsidRPr="00F955EE" w:rsidRDefault="00C01360" w:rsidP="00C01360">
      <w:pPr>
        <w:tabs>
          <w:tab w:val="left" w:pos="720"/>
        </w:tabs>
        <w:spacing w:line="20" w:lineRule="atLeast"/>
        <w:ind w:right="-90"/>
        <w:contextualSpacing/>
        <w:rPr>
          <w:kern w:val="2"/>
          <w:lang w:val="es-ES"/>
        </w:rPr>
      </w:pPr>
    </w:p>
    <w:p w14:paraId="04B43F89" w14:textId="4F55C690" w:rsidR="001B680E" w:rsidRPr="00F955EE" w:rsidRDefault="001B680E" w:rsidP="00E06F63">
      <w:pPr>
        <w:tabs>
          <w:tab w:val="left" w:pos="720"/>
        </w:tabs>
        <w:spacing w:line="20" w:lineRule="atLeast"/>
        <w:ind w:right="-90"/>
        <w:contextualSpacing/>
        <w:rPr>
          <w:rFonts w:eastAsia="MS Mincho"/>
          <w:lang w:val="es-ES" w:bidi="en-US"/>
        </w:rPr>
      </w:pPr>
      <w:r w:rsidRPr="00F955EE">
        <w:rPr>
          <w:rFonts w:eastAsia="MS Mincho"/>
          <w:lang w:val="es-ES" w:bidi="en-US"/>
        </w:rPr>
        <w:t xml:space="preserve">Por </w:t>
      </w:r>
      <w:r w:rsidR="00372220">
        <w:rPr>
          <w:rFonts w:eastAsia="MS Mincho"/>
          <w:lang w:val="es-ES" w:bidi="en-US"/>
        </w:rPr>
        <w:t>unanimidad</w:t>
      </w:r>
      <w:r w:rsidRPr="00F955EE">
        <w:rPr>
          <w:rFonts w:eastAsia="MS Mincho"/>
          <w:lang w:val="es-ES" w:bidi="en-US"/>
        </w:rPr>
        <w:t xml:space="preserve"> que:</w:t>
      </w:r>
    </w:p>
    <w:p w14:paraId="11F60F1D" w14:textId="77777777" w:rsidR="001B680E" w:rsidRPr="00F955EE" w:rsidRDefault="001B680E" w:rsidP="00E06F63">
      <w:pPr>
        <w:spacing w:line="20" w:lineRule="atLeast"/>
        <w:ind w:right="-90"/>
        <w:contextualSpacing/>
        <w:rPr>
          <w:rFonts w:eastAsia="MS Mincho"/>
          <w:lang w:val="es-ES" w:bidi="en-US"/>
        </w:rPr>
      </w:pPr>
    </w:p>
    <w:p w14:paraId="27AE82AF" w14:textId="286E83EF" w:rsidR="00CD152D" w:rsidRPr="00F955EE" w:rsidRDefault="00CD152D" w:rsidP="004F0770">
      <w:pPr>
        <w:numPr>
          <w:ilvl w:val="0"/>
          <w:numId w:val="5"/>
        </w:numPr>
        <w:tabs>
          <w:tab w:val="left" w:pos="720"/>
        </w:tabs>
        <w:spacing w:line="20" w:lineRule="atLeast"/>
        <w:ind w:right="-90"/>
        <w:contextualSpacing/>
        <w:rPr>
          <w:lang w:val="es-ES"/>
        </w:rPr>
      </w:pPr>
      <w:r w:rsidRPr="00F955EE">
        <w:rPr>
          <w:kern w:val="2"/>
          <w:lang w:val="es-ES"/>
        </w:rPr>
        <w:t xml:space="preserve">El Estado </w:t>
      </w:r>
      <w:r w:rsidR="003759DE" w:rsidRPr="00F955EE">
        <w:rPr>
          <w:kern w:val="2"/>
          <w:lang w:val="es-ES"/>
        </w:rPr>
        <w:t>es</w:t>
      </w:r>
      <w:r w:rsidRPr="00F955EE">
        <w:rPr>
          <w:kern w:val="2"/>
          <w:lang w:val="es-ES"/>
        </w:rPr>
        <w:t xml:space="preserve"> r</w:t>
      </w:r>
      <w:r w:rsidR="003759DE" w:rsidRPr="00F955EE">
        <w:rPr>
          <w:kern w:val="2"/>
          <w:lang w:val="es-ES"/>
        </w:rPr>
        <w:t xml:space="preserve">esponsable por la violación </w:t>
      </w:r>
      <w:r w:rsidR="001C0A41" w:rsidRPr="00F955EE">
        <w:rPr>
          <w:kern w:val="2"/>
          <w:lang w:val="es-ES"/>
        </w:rPr>
        <w:t>del</w:t>
      </w:r>
      <w:r w:rsidR="00632020" w:rsidRPr="00F955EE">
        <w:rPr>
          <w:kern w:val="2"/>
          <w:lang w:val="es-ES"/>
        </w:rPr>
        <w:t xml:space="preserve"> derecho a la vida, consagrado en el artículo 4.1 de la Convención Americana sobre Derechos Humanos, en relación con </w:t>
      </w:r>
      <w:r w:rsidR="004168BF" w:rsidRPr="00F955EE">
        <w:rPr>
          <w:kern w:val="2"/>
          <w:lang w:val="es-ES"/>
        </w:rPr>
        <w:t>los artículos</w:t>
      </w:r>
      <w:r w:rsidR="00632020" w:rsidRPr="00F955EE">
        <w:rPr>
          <w:kern w:val="2"/>
          <w:lang w:val="es-ES"/>
        </w:rPr>
        <w:t xml:space="preserve"> 1.1 </w:t>
      </w:r>
      <w:r w:rsidR="004168BF" w:rsidRPr="00F955EE">
        <w:rPr>
          <w:kern w:val="2"/>
          <w:lang w:val="es-ES"/>
        </w:rPr>
        <w:t xml:space="preserve">y 2 </w:t>
      </w:r>
      <w:r w:rsidR="00632020" w:rsidRPr="00F955EE">
        <w:rPr>
          <w:kern w:val="2"/>
          <w:lang w:val="es-ES"/>
        </w:rPr>
        <w:t>del mismo instrumento, en perjuicio del señor Pedro Bacilio Roche Azaña</w:t>
      </w:r>
      <w:r w:rsidR="001C0A41" w:rsidRPr="00F955EE">
        <w:rPr>
          <w:kern w:val="2"/>
          <w:lang w:val="es-ES"/>
        </w:rPr>
        <w:t xml:space="preserve">, en los términos de los párrafos </w:t>
      </w:r>
      <w:r w:rsidR="00563CA7">
        <w:rPr>
          <w:kern w:val="2"/>
          <w:lang w:val="es-ES"/>
        </w:rPr>
        <w:t>50</w:t>
      </w:r>
      <w:r w:rsidR="001C0A41" w:rsidRPr="00F955EE">
        <w:rPr>
          <w:kern w:val="2"/>
          <w:lang w:val="es-ES"/>
        </w:rPr>
        <w:t xml:space="preserve"> a </w:t>
      </w:r>
      <w:r w:rsidR="00563CA7">
        <w:rPr>
          <w:kern w:val="2"/>
          <w:lang w:val="es-ES"/>
        </w:rPr>
        <w:t>72</w:t>
      </w:r>
      <w:r w:rsidR="001C0A41" w:rsidRPr="00F955EE">
        <w:rPr>
          <w:kern w:val="2"/>
          <w:lang w:val="es-ES"/>
        </w:rPr>
        <w:t xml:space="preserve"> de la presente Sentencia</w:t>
      </w:r>
      <w:r w:rsidR="00632020" w:rsidRPr="00F955EE">
        <w:rPr>
          <w:kern w:val="2"/>
          <w:lang w:val="es-ES"/>
        </w:rPr>
        <w:t>.</w:t>
      </w:r>
      <w:r w:rsidR="00851CF5" w:rsidRPr="00F955EE">
        <w:rPr>
          <w:kern w:val="2"/>
          <w:lang w:val="es-ES"/>
        </w:rPr>
        <w:t xml:space="preserve"> </w:t>
      </w:r>
    </w:p>
    <w:p w14:paraId="55C16E8D" w14:textId="77777777" w:rsidR="001C0A41" w:rsidRPr="00F955EE" w:rsidRDefault="001C0A41" w:rsidP="001C0A41">
      <w:pPr>
        <w:tabs>
          <w:tab w:val="left" w:pos="720"/>
        </w:tabs>
        <w:spacing w:line="20" w:lineRule="atLeast"/>
        <w:ind w:right="-90"/>
        <w:contextualSpacing/>
        <w:rPr>
          <w:lang w:val="es-ES"/>
        </w:rPr>
      </w:pPr>
    </w:p>
    <w:p w14:paraId="70DCBF17" w14:textId="33EDC134" w:rsidR="00632020" w:rsidRPr="00F955EE" w:rsidRDefault="00632020" w:rsidP="004F0770">
      <w:pPr>
        <w:numPr>
          <w:ilvl w:val="0"/>
          <w:numId w:val="5"/>
        </w:numPr>
        <w:tabs>
          <w:tab w:val="left" w:pos="720"/>
        </w:tabs>
        <w:spacing w:line="20" w:lineRule="atLeast"/>
        <w:ind w:right="-90"/>
        <w:contextualSpacing/>
        <w:rPr>
          <w:lang w:val="es-ES"/>
        </w:rPr>
      </w:pPr>
      <w:r w:rsidRPr="00F955EE">
        <w:rPr>
          <w:kern w:val="2"/>
          <w:lang w:val="es-ES"/>
        </w:rPr>
        <w:t xml:space="preserve">El Estado es responsable por la violación </w:t>
      </w:r>
      <w:r w:rsidR="001C0A41" w:rsidRPr="00F955EE">
        <w:rPr>
          <w:kern w:val="2"/>
          <w:lang w:val="es-ES"/>
        </w:rPr>
        <w:t>del</w:t>
      </w:r>
      <w:r w:rsidRPr="00F955EE">
        <w:rPr>
          <w:kern w:val="2"/>
          <w:lang w:val="es-ES"/>
        </w:rPr>
        <w:t xml:space="preserve"> derecho a la integridad personal, consagrado en</w:t>
      </w:r>
      <w:r w:rsidR="001C0A41" w:rsidRPr="00F955EE">
        <w:rPr>
          <w:kern w:val="2"/>
          <w:lang w:val="es-ES"/>
        </w:rPr>
        <w:t xml:space="preserve"> el artículo 5.1</w:t>
      </w:r>
      <w:r w:rsidRPr="00F955EE">
        <w:rPr>
          <w:kern w:val="2"/>
          <w:lang w:val="es-ES"/>
        </w:rPr>
        <w:t xml:space="preserve"> de la Convención Americana sobre Derechos Humanos, en relación con </w:t>
      </w:r>
      <w:r w:rsidR="004168BF" w:rsidRPr="00F955EE">
        <w:rPr>
          <w:kern w:val="2"/>
          <w:lang w:val="es-ES"/>
        </w:rPr>
        <w:t>los</w:t>
      </w:r>
      <w:r w:rsidRPr="00F955EE">
        <w:rPr>
          <w:kern w:val="2"/>
          <w:lang w:val="es-ES"/>
        </w:rPr>
        <w:t xml:space="preserve"> artículo</w:t>
      </w:r>
      <w:r w:rsidR="004168BF" w:rsidRPr="00F955EE">
        <w:rPr>
          <w:kern w:val="2"/>
          <w:lang w:val="es-ES"/>
        </w:rPr>
        <w:t>s</w:t>
      </w:r>
      <w:r w:rsidRPr="00F955EE">
        <w:rPr>
          <w:kern w:val="2"/>
          <w:lang w:val="es-ES"/>
        </w:rPr>
        <w:t xml:space="preserve"> 1.1 </w:t>
      </w:r>
      <w:r w:rsidR="004168BF" w:rsidRPr="00F955EE">
        <w:rPr>
          <w:kern w:val="2"/>
          <w:lang w:val="es-ES"/>
        </w:rPr>
        <w:t xml:space="preserve">y 2 </w:t>
      </w:r>
      <w:r w:rsidRPr="00F955EE">
        <w:rPr>
          <w:kern w:val="2"/>
          <w:lang w:val="es-ES"/>
        </w:rPr>
        <w:t xml:space="preserve">del mismo instrumento, en perjuicio del señor </w:t>
      </w:r>
      <w:r w:rsidR="00847FC6" w:rsidRPr="00F955EE">
        <w:rPr>
          <w:kern w:val="2"/>
          <w:lang w:val="es-ES"/>
        </w:rPr>
        <w:t>Patricio Fernando</w:t>
      </w:r>
      <w:r w:rsidRPr="00F955EE">
        <w:rPr>
          <w:kern w:val="2"/>
          <w:lang w:val="es-ES"/>
        </w:rPr>
        <w:t xml:space="preserve"> Roche Azaña</w:t>
      </w:r>
      <w:r w:rsidR="001C0A41" w:rsidRPr="00F955EE">
        <w:rPr>
          <w:kern w:val="2"/>
          <w:lang w:val="es-ES"/>
        </w:rPr>
        <w:t xml:space="preserve">, en los términos de los párrafos </w:t>
      </w:r>
      <w:r w:rsidR="00563CA7">
        <w:rPr>
          <w:kern w:val="2"/>
          <w:lang w:val="es-ES"/>
        </w:rPr>
        <w:t>50</w:t>
      </w:r>
      <w:r w:rsidR="001C0A41" w:rsidRPr="00F955EE">
        <w:rPr>
          <w:kern w:val="2"/>
          <w:lang w:val="es-ES"/>
        </w:rPr>
        <w:t xml:space="preserve"> a </w:t>
      </w:r>
      <w:r w:rsidR="00563CA7">
        <w:rPr>
          <w:kern w:val="2"/>
          <w:lang w:val="es-ES"/>
        </w:rPr>
        <w:t>72</w:t>
      </w:r>
      <w:r w:rsidR="001C0A41" w:rsidRPr="00F955EE">
        <w:rPr>
          <w:kern w:val="2"/>
          <w:lang w:val="es-ES"/>
        </w:rPr>
        <w:t xml:space="preserve"> de la presente Sentencia.</w:t>
      </w:r>
      <w:r w:rsidR="002D14B0">
        <w:rPr>
          <w:kern w:val="2"/>
          <w:lang w:val="es-ES"/>
        </w:rPr>
        <w:t xml:space="preserve"> </w:t>
      </w:r>
    </w:p>
    <w:p w14:paraId="35A06ABE" w14:textId="77777777" w:rsidR="001C0A41" w:rsidRPr="00F955EE" w:rsidRDefault="001C0A41" w:rsidP="001C0A41">
      <w:pPr>
        <w:tabs>
          <w:tab w:val="left" w:pos="720"/>
        </w:tabs>
        <w:spacing w:line="20" w:lineRule="atLeast"/>
        <w:ind w:right="-90"/>
        <w:contextualSpacing/>
        <w:rPr>
          <w:lang w:val="es-ES"/>
        </w:rPr>
      </w:pPr>
    </w:p>
    <w:p w14:paraId="5B7DA186" w14:textId="71FCD6FC" w:rsidR="001C0A41" w:rsidRPr="00F955EE" w:rsidRDefault="001C0A41" w:rsidP="004F0770">
      <w:pPr>
        <w:numPr>
          <w:ilvl w:val="0"/>
          <w:numId w:val="5"/>
        </w:numPr>
        <w:tabs>
          <w:tab w:val="left" w:pos="720"/>
        </w:tabs>
        <w:spacing w:line="20" w:lineRule="atLeast"/>
        <w:ind w:right="-90"/>
        <w:contextualSpacing/>
        <w:rPr>
          <w:lang w:val="es-ES"/>
        </w:rPr>
      </w:pPr>
      <w:r w:rsidRPr="00D6530B">
        <w:rPr>
          <w:kern w:val="2"/>
          <w:lang w:val="es-ES"/>
        </w:rPr>
        <w:t>El Estado es responsable por la violación de</w:t>
      </w:r>
      <w:r w:rsidR="00E254D2" w:rsidRPr="00D6530B">
        <w:rPr>
          <w:kern w:val="2"/>
          <w:lang w:val="es-ES"/>
        </w:rPr>
        <w:t xml:space="preserve"> </w:t>
      </w:r>
      <w:r w:rsidRPr="00D6530B">
        <w:rPr>
          <w:kern w:val="2"/>
          <w:lang w:val="es-ES"/>
        </w:rPr>
        <w:t>l</w:t>
      </w:r>
      <w:r w:rsidR="00E254D2" w:rsidRPr="00D6530B">
        <w:rPr>
          <w:kern w:val="2"/>
          <w:lang w:val="es-ES"/>
        </w:rPr>
        <w:t>os</w:t>
      </w:r>
      <w:r w:rsidRPr="00D6530B">
        <w:rPr>
          <w:kern w:val="2"/>
          <w:lang w:val="es-ES"/>
        </w:rPr>
        <w:t xml:space="preserve"> derecho</w:t>
      </w:r>
      <w:r w:rsidR="00E254D2" w:rsidRPr="00D6530B">
        <w:rPr>
          <w:kern w:val="2"/>
          <w:lang w:val="es-ES"/>
        </w:rPr>
        <w:t>s</w:t>
      </w:r>
      <w:r w:rsidRPr="00D6530B">
        <w:rPr>
          <w:kern w:val="2"/>
          <w:lang w:val="es-ES"/>
        </w:rPr>
        <w:t xml:space="preserve"> a las garantías judiciales</w:t>
      </w:r>
      <w:r w:rsidR="00E42AE1" w:rsidRPr="00D6530B">
        <w:rPr>
          <w:kern w:val="2"/>
          <w:lang w:val="es-ES"/>
        </w:rPr>
        <w:t xml:space="preserve"> y a la protección judicial</w:t>
      </w:r>
      <w:r w:rsidRPr="00D6530B">
        <w:rPr>
          <w:kern w:val="2"/>
          <w:lang w:val="es-ES"/>
        </w:rPr>
        <w:t>, consagrado</w:t>
      </w:r>
      <w:r w:rsidR="00E42AE1" w:rsidRPr="00D6530B">
        <w:rPr>
          <w:kern w:val="2"/>
          <w:lang w:val="es-ES"/>
        </w:rPr>
        <w:t>s</w:t>
      </w:r>
      <w:r w:rsidRPr="00D6530B">
        <w:rPr>
          <w:kern w:val="2"/>
          <w:lang w:val="es-ES"/>
        </w:rPr>
        <w:t xml:space="preserve"> en </w:t>
      </w:r>
      <w:r w:rsidR="00A5782A" w:rsidRPr="00D6530B">
        <w:rPr>
          <w:kern w:val="2"/>
          <w:lang w:val="es-ES"/>
        </w:rPr>
        <w:t>los artículos</w:t>
      </w:r>
      <w:r w:rsidRPr="00F955EE">
        <w:rPr>
          <w:kern w:val="2"/>
          <w:lang w:val="es-ES"/>
        </w:rPr>
        <w:t xml:space="preserve"> 8.1 </w:t>
      </w:r>
      <w:r w:rsidR="00E42AE1" w:rsidRPr="00F955EE">
        <w:rPr>
          <w:kern w:val="2"/>
          <w:lang w:val="es-ES"/>
        </w:rPr>
        <w:t xml:space="preserve">y 25 </w:t>
      </w:r>
      <w:r w:rsidRPr="00F955EE">
        <w:rPr>
          <w:kern w:val="2"/>
          <w:lang w:val="es-ES"/>
        </w:rPr>
        <w:t xml:space="preserve">de la Convención Americana sobre Derechos Humanos, en relación con el artículo 1.1 del mismo instrumento, en perjuicio del señor </w:t>
      </w:r>
      <w:r w:rsidR="00847FC6" w:rsidRPr="00F955EE">
        <w:rPr>
          <w:kern w:val="2"/>
          <w:lang w:val="es-ES"/>
        </w:rPr>
        <w:t xml:space="preserve">Patricio Fernando </w:t>
      </w:r>
      <w:r w:rsidRPr="00F955EE">
        <w:rPr>
          <w:kern w:val="2"/>
          <w:lang w:val="es-ES"/>
        </w:rPr>
        <w:t xml:space="preserve">Roche Azaña, la señora María </w:t>
      </w:r>
      <w:r w:rsidR="003461E8" w:rsidRPr="00F955EE">
        <w:rPr>
          <w:kern w:val="2"/>
          <w:lang w:val="es-ES"/>
        </w:rPr>
        <w:t>Angelita</w:t>
      </w:r>
      <w:r w:rsidRPr="00F955EE">
        <w:rPr>
          <w:kern w:val="2"/>
          <w:lang w:val="es-ES"/>
        </w:rPr>
        <w:t xml:space="preserve"> Azaña Tenesaca y el señor José Fernando </w:t>
      </w:r>
      <w:r w:rsidRPr="00F955EE">
        <w:rPr>
          <w:rFonts w:eastAsiaTheme="minorHAnsi"/>
          <w:lang w:val="es-ES" w:eastAsia="en-US"/>
        </w:rPr>
        <w:t>Roche Zhizhingo</w:t>
      </w:r>
      <w:r w:rsidRPr="00F955EE">
        <w:rPr>
          <w:kern w:val="2"/>
          <w:lang w:val="es-ES"/>
        </w:rPr>
        <w:t xml:space="preserve">, en los términos de los párrafos </w:t>
      </w:r>
      <w:r w:rsidR="00563CA7">
        <w:rPr>
          <w:kern w:val="2"/>
          <w:lang w:val="es-ES"/>
        </w:rPr>
        <w:t>84</w:t>
      </w:r>
      <w:r w:rsidRPr="00F955EE">
        <w:rPr>
          <w:kern w:val="2"/>
          <w:lang w:val="es-ES"/>
        </w:rPr>
        <w:t xml:space="preserve"> a </w:t>
      </w:r>
      <w:r w:rsidR="00563CA7">
        <w:rPr>
          <w:kern w:val="2"/>
          <w:lang w:val="es-ES"/>
        </w:rPr>
        <w:t>94</w:t>
      </w:r>
      <w:r w:rsidRPr="00F955EE">
        <w:rPr>
          <w:kern w:val="2"/>
          <w:lang w:val="es-ES"/>
        </w:rPr>
        <w:t xml:space="preserve"> de la presente Sentencia.</w:t>
      </w:r>
      <w:r w:rsidR="00851CF5" w:rsidRPr="00F955EE">
        <w:rPr>
          <w:kern w:val="2"/>
          <w:lang w:val="es-ES"/>
        </w:rPr>
        <w:t xml:space="preserve"> </w:t>
      </w:r>
    </w:p>
    <w:p w14:paraId="077FB1E9" w14:textId="77777777" w:rsidR="001C0A41" w:rsidRPr="00F955EE" w:rsidRDefault="001C0A41" w:rsidP="001C0A41">
      <w:pPr>
        <w:tabs>
          <w:tab w:val="left" w:pos="720"/>
        </w:tabs>
        <w:spacing w:line="20" w:lineRule="atLeast"/>
        <w:ind w:right="-90"/>
        <w:contextualSpacing/>
        <w:rPr>
          <w:lang w:val="es-ES"/>
        </w:rPr>
      </w:pPr>
    </w:p>
    <w:p w14:paraId="0FE2B3E7" w14:textId="788AD87B" w:rsidR="00632020" w:rsidRPr="00F955EE" w:rsidRDefault="001C0A41" w:rsidP="004F0770">
      <w:pPr>
        <w:numPr>
          <w:ilvl w:val="0"/>
          <w:numId w:val="5"/>
        </w:numPr>
        <w:tabs>
          <w:tab w:val="left" w:pos="720"/>
        </w:tabs>
        <w:spacing w:line="20" w:lineRule="atLeast"/>
        <w:ind w:right="-90"/>
        <w:contextualSpacing/>
        <w:rPr>
          <w:lang w:val="es-ES"/>
        </w:rPr>
      </w:pPr>
      <w:r w:rsidRPr="00F955EE">
        <w:rPr>
          <w:kern w:val="2"/>
          <w:lang w:val="es-ES"/>
        </w:rPr>
        <w:t>El Estado es responsable por la violación del derecho a la integridad personal, consagrado en el artículo 5.1 de la Convención Americana sobre Derechos Humanos, en relación con el artículo 1.1 del mismo instrumento, en perjuicio de la señora María Angeli</w:t>
      </w:r>
      <w:r w:rsidR="00C21372" w:rsidRPr="00F955EE">
        <w:rPr>
          <w:kern w:val="2"/>
          <w:lang w:val="es-ES"/>
        </w:rPr>
        <w:t>t</w:t>
      </w:r>
      <w:r w:rsidRPr="00F955EE">
        <w:rPr>
          <w:kern w:val="2"/>
          <w:lang w:val="es-ES"/>
        </w:rPr>
        <w:t xml:space="preserve">a Azaña Tenesaca y del señor José Fernando </w:t>
      </w:r>
      <w:r w:rsidRPr="00F955EE">
        <w:rPr>
          <w:rFonts w:eastAsiaTheme="minorHAnsi"/>
          <w:lang w:val="es-ES" w:eastAsia="en-US"/>
        </w:rPr>
        <w:t>Roche Zhizhingo</w:t>
      </w:r>
      <w:r w:rsidRPr="00F955EE">
        <w:rPr>
          <w:kern w:val="2"/>
          <w:lang w:val="es-ES"/>
        </w:rPr>
        <w:t xml:space="preserve">, en los términos de los párrafos </w:t>
      </w:r>
      <w:r w:rsidR="00563CA7">
        <w:rPr>
          <w:kern w:val="2"/>
          <w:lang w:val="es-ES"/>
        </w:rPr>
        <w:t>100</w:t>
      </w:r>
      <w:r w:rsidRPr="00F955EE">
        <w:rPr>
          <w:kern w:val="2"/>
          <w:lang w:val="es-ES"/>
        </w:rPr>
        <w:t xml:space="preserve"> a </w:t>
      </w:r>
      <w:r w:rsidR="00563CA7">
        <w:rPr>
          <w:kern w:val="2"/>
          <w:lang w:val="es-ES"/>
        </w:rPr>
        <w:t>102</w:t>
      </w:r>
      <w:r w:rsidRPr="00F955EE">
        <w:rPr>
          <w:kern w:val="2"/>
          <w:lang w:val="es-ES"/>
        </w:rPr>
        <w:t xml:space="preserve"> de la presente Sentencia.</w:t>
      </w:r>
      <w:r w:rsidR="00851CF5" w:rsidRPr="00F955EE">
        <w:rPr>
          <w:kern w:val="2"/>
          <w:lang w:val="es-ES"/>
        </w:rPr>
        <w:t xml:space="preserve"> </w:t>
      </w:r>
    </w:p>
    <w:p w14:paraId="24DF1D16" w14:textId="77777777" w:rsidR="00632020" w:rsidRPr="00F955EE" w:rsidRDefault="00632020" w:rsidP="003759DE">
      <w:pPr>
        <w:tabs>
          <w:tab w:val="left" w:pos="720"/>
        </w:tabs>
        <w:spacing w:line="20" w:lineRule="atLeast"/>
        <w:ind w:right="-90"/>
        <w:contextualSpacing/>
        <w:rPr>
          <w:lang w:val="es-ES"/>
        </w:rPr>
      </w:pPr>
    </w:p>
    <w:p w14:paraId="5D92AF37" w14:textId="77777777" w:rsidR="001B680E" w:rsidRPr="00F955EE" w:rsidRDefault="001B680E" w:rsidP="00E06F63">
      <w:pPr>
        <w:tabs>
          <w:tab w:val="left" w:pos="720"/>
        </w:tabs>
        <w:spacing w:before="360" w:after="360" w:line="20" w:lineRule="atLeast"/>
        <w:ind w:right="-86"/>
        <w:contextualSpacing/>
        <w:rPr>
          <w:rFonts w:eastAsia="MS Mincho"/>
          <w:b/>
          <w:bCs/>
          <w:lang w:val="es-ES" w:bidi="en-US"/>
        </w:rPr>
      </w:pPr>
      <w:r w:rsidRPr="00F955EE">
        <w:rPr>
          <w:rFonts w:eastAsia="MS Mincho"/>
          <w:b/>
          <w:bCs/>
          <w:lang w:val="es-ES" w:bidi="en-US"/>
        </w:rPr>
        <w:t>Y DISPONE:</w:t>
      </w:r>
    </w:p>
    <w:p w14:paraId="5F58C4BE" w14:textId="77777777" w:rsidR="001B680E" w:rsidRPr="00F955EE" w:rsidRDefault="001B680E" w:rsidP="00E06F63">
      <w:pPr>
        <w:tabs>
          <w:tab w:val="left" w:pos="720"/>
        </w:tabs>
        <w:spacing w:line="20" w:lineRule="atLeast"/>
        <w:ind w:right="-90"/>
        <w:contextualSpacing/>
        <w:rPr>
          <w:rFonts w:eastAsia="MS Mincho"/>
          <w:b/>
          <w:bCs/>
          <w:lang w:val="es-ES" w:bidi="en-US"/>
        </w:rPr>
      </w:pPr>
    </w:p>
    <w:p w14:paraId="6B809F36" w14:textId="19A60FFF" w:rsidR="001B680E" w:rsidRPr="00F955EE" w:rsidRDefault="001B680E" w:rsidP="00E06F63">
      <w:pPr>
        <w:tabs>
          <w:tab w:val="left" w:pos="720"/>
        </w:tabs>
        <w:spacing w:line="20" w:lineRule="atLeast"/>
        <w:ind w:right="-90"/>
        <w:contextualSpacing/>
        <w:rPr>
          <w:rFonts w:eastAsia="MS Mincho"/>
          <w:lang w:val="es-ES" w:bidi="en-US"/>
        </w:rPr>
      </w:pPr>
      <w:r w:rsidRPr="00F955EE">
        <w:rPr>
          <w:rFonts w:eastAsia="MS Mincho"/>
          <w:lang w:val="es-ES" w:bidi="en-US"/>
        </w:rPr>
        <w:t xml:space="preserve">Por </w:t>
      </w:r>
      <w:r w:rsidR="00372220">
        <w:rPr>
          <w:rFonts w:eastAsia="MS Mincho"/>
          <w:lang w:val="es-ES" w:bidi="en-US"/>
        </w:rPr>
        <w:t xml:space="preserve">unanimidad, </w:t>
      </w:r>
      <w:r w:rsidRPr="00F955EE">
        <w:rPr>
          <w:rFonts w:eastAsia="MS Mincho"/>
          <w:lang w:val="es-ES" w:bidi="en-US"/>
        </w:rPr>
        <w:t>que:</w:t>
      </w:r>
    </w:p>
    <w:p w14:paraId="4068D3ED" w14:textId="77777777" w:rsidR="001B680E" w:rsidRPr="00F955EE" w:rsidRDefault="001B680E" w:rsidP="00E06F63">
      <w:pPr>
        <w:tabs>
          <w:tab w:val="left" w:pos="720"/>
        </w:tabs>
        <w:spacing w:line="20" w:lineRule="atLeast"/>
        <w:ind w:right="-90"/>
        <w:contextualSpacing/>
        <w:rPr>
          <w:rFonts w:eastAsia="MS Mincho"/>
          <w:bCs/>
          <w:lang w:val="es-ES" w:bidi="en-US"/>
        </w:rPr>
      </w:pPr>
    </w:p>
    <w:p w14:paraId="109707F0" w14:textId="77777777" w:rsidR="001B680E" w:rsidRPr="00F955EE" w:rsidRDefault="001B680E" w:rsidP="004F0770">
      <w:pPr>
        <w:numPr>
          <w:ilvl w:val="0"/>
          <w:numId w:val="5"/>
        </w:numPr>
        <w:tabs>
          <w:tab w:val="left" w:pos="720"/>
        </w:tabs>
        <w:spacing w:line="20" w:lineRule="atLeast"/>
        <w:ind w:right="-90"/>
        <w:contextualSpacing/>
        <w:rPr>
          <w:bCs/>
          <w:lang w:val="es-ES"/>
        </w:rPr>
      </w:pPr>
      <w:r w:rsidRPr="00F955EE">
        <w:rPr>
          <w:lang w:val="es-ES"/>
        </w:rPr>
        <w:t>Esta</w:t>
      </w:r>
      <w:r w:rsidRPr="00F955EE">
        <w:rPr>
          <w:bCs/>
          <w:lang w:val="es-ES"/>
        </w:rPr>
        <w:t xml:space="preserve"> Sentencia constituye, por sí misma, una forma de reparación.</w:t>
      </w:r>
    </w:p>
    <w:p w14:paraId="6DAA0579" w14:textId="77777777" w:rsidR="00371FFC" w:rsidRPr="00F955EE" w:rsidRDefault="00371FFC" w:rsidP="00371FFC">
      <w:pPr>
        <w:tabs>
          <w:tab w:val="left" w:pos="720"/>
        </w:tabs>
        <w:spacing w:line="20" w:lineRule="atLeast"/>
        <w:ind w:right="-90"/>
        <w:contextualSpacing/>
        <w:rPr>
          <w:bCs/>
          <w:lang w:val="es-ES"/>
        </w:rPr>
      </w:pPr>
    </w:p>
    <w:p w14:paraId="515D4D5F" w14:textId="17AF52BB" w:rsidR="001C0A41" w:rsidRPr="00F955EE" w:rsidRDefault="001C0A41" w:rsidP="004F0770">
      <w:pPr>
        <w:numPr>
          <w:ilvl w:val="0"/>
          <w:numId w:val="5"/>
        </w:numPr>
        <w:tabs>
          <w:tab w:val="left" w:pos="720"/>
        </w:tabs>
        <w:spacing w:line="20" w:lineRule="atLeast"/>
        <w:ind w:right="-90"/>
        <w:contextualSpacing/>
        <w:rPr>
          <w:bCs/>
          <w:lang w:val="es-ES"/>
        </w:rPr>
      </w:pPr>
      <w:r w:rsidRPr="00F955EE">
        <w:rPr>
          <w:bCs/>
          <w:lang w:val="es-ES"/>
        </w:rPr>
        <w:t xml:space="preserve">El Estado pagará las cantidades fijadas en el párrafo </w:t>
      </w:r>
      <w:r w:rsidR="00563CA7">
        <w:rPr>
          <w:bCs/>
          <w:lang w:val="es-ES"/>
        </w:rPr>
        <w:t>115</w:t>
      </w:r>
      <w:r w:rsidRPr="00F955EE">
        <w:rPr>
          <w:bCs/>
          <w:lang w:val="es-ES"/>
        </w:rPr>
        <w:t xml:space="preserve"> de la presente Sentencia por concepto de rehabilitación</w:t>
      </w:r>
      <w:r w:rsidRPr="00F955EE">
        <w:rPr>
          <w:lang w:val="es-ES"/>
        </w:rPr>
        <w:t>.</w:t>
      </w:r>
    </w:p>
    <w:p w14:paraId="6BA7BB8A" w14:textId="77777777" w:rsidR="001C0A41" w:rsidRPr="00F955EE" w:rsidRDefault="001C0A41" w:rsidP="001C0A41">
      <w:pPr>
        <w:tabs>
          <w:tab w:val="left" w:pos="720"/>
        </w:tabs>
        <w:spacing w:line="20" w:lineRule="atLeast"/>
        <w:ind w:right="-90"/>
        <w:contextualSpacing/>
        <w:rPr>
          <w:bCs/>
          <w:lang w:val="es-ES"/>
        </w:rPr>
      </w:pPr>
    </w:p>
    <w:p w14:paraId="1C57DBA4" w14:textId="7191DD18" w:rsidR="006D4185" w:rsidRDefault="006D4185" w:rsidP="004F0770">
      <w:pPr>
        <w:numPr>
          <w:ilvl w:val="0"/>
          <w:numId w:val="5"/>
        </w:numPr>
        <w:tabs>
          <w:tab w:val="left" w:pos="720"/>
        </w:tabs>
        <w:spacing w:line="20" w:lineRule="atLeast"/>
        <w:ind w:right="-90"/>
        <w:contextualSpacing/>
        <w:rPr>
          <w:bCs/>
          <w:lang w:val="es-ES"/>
        </w:rPr>
      </w:pPr>
      <w:r w:rsidRPr="00F955EE">
        <w:rPr>
          <w:bCs/>
          <w:lang w:val="es-ES"/>
        </w:rPr>
        <w:t xml:space="preserve">El Estado realizará las publicaciones indicadas en el párrafo </w:t>
      </w:r>
      <w:r>
        <w:rPr>
          <w:bCs/>
          <w:lang w:val="es-ES"/>
        </w:rPr>
        <w:t>118</w:t>
      </w:r>
      <w:r w:rsidRPr="00F955EE">
        <w:rPr>
          <w:bCs/>
          <w:lang w:val="es-ES"/>
        </w:rPr>
        <w:t xml:space="preserve"> de la presente Sentencia.</w:t>
      </w:r>
    </w:p>
    <w:p w14:paraId="03DBDC9B" w14:textId="77777777" w:rsidR="006D4185" w:rsidRPr="00F955EE" w:rsidRDefault="006D4185" w:rsidP="006D4185">
      <w:pPr>
        <w:tabs>
          <w:tab w:val="left" w:pos="720"/>
        </w:tabs>
        <w:spacing w:line="20" w:lineRule="atLeast"/>
        <w:ind w:right="-90"/>
        <w:contextualSpacing/>
        <w:rPr>
          <w:bCs/>
          <w:lang w:val="es-ES"/>
        </w:rPr>
      </w:pPr>
    </w:p>
    <w:p w14:paraId="63E15E18" w14:textId="57E3B75A" w:rsidR="004B4532" w:rsidRPr="004B4532" w:rsidRDefault="004B4532" w:rsidP="004F0770">
      <w:pPr>
        <w:numPr>
          <w:ilvl w:val="0"/>
          <w:numId w:val="5"/>
        </w:numPr>
        <w:tabs>
          <w:tab w:val="left" w:pos="720"/>
        </w:tabs>
        <w:spacing w:line="20" w:lineRule="atLeast"/>
        <w:ind w:right="-90"/>
        <w:contextualSpacing/>
        <w:rPr>
          <w:rFonts w:eastAsia="MS Mincho"/>
          <w:lang w:val="es-ES" w:bidi="en-US"/>
        </w:rPr>
      </w:pPr>
      <w:r w:rsidRPr="00F955EE">
        <w:rPr>
          <w:rFonts w:eastAsia="MS Mincho"/>
          <w:lang w:val="es-ES" w:bidi="en-US"/>
        </w:rPr>
        <w:t>El Estado creará e implementará un plan de capacitación dirigido a miembros de la Policía Nacional de Nicaragua y del Ejército de Nicaragua sobre los estándares internacionales en materia de uso de la fuerza</w:t>
      </w:r>
      <w:r w:rsidRPr="00F955EE">
        <w:rPr>
          <w:lang w:val="es-ES"/>
        </w:rPr>
        <w:t xml:space="preserve">, </w:t>
      </w:r>
      <w:r w:rsidRPr="00F955EE">
        <w:t xml:space="preserve">así como </w:t>
      </w:r>
      <w:r>
        <w:t xml:space="preserve">respecto </w:t>
      </w:r>
      <w:r w:rsidRPr="00F955EE">
        <w:t xml:space="preserve">a los estándares </w:t>
      </w:r>
      <w:r>
        <w:t>internacionales</w:t>
      </w:r>
      <w:r w:rsidRPr="00F955EE">
        <w:t xml:space="preserve"> de protección de los derechos de las personas en contexto de movilidad</w:t>
      </w:r>
      <w:r w:rsidRPr="00F955EE">
        <w:rPr>
          <w:lang w:val="es-ES"/>
        </w:rPr>
        <w:t xml:space="preserve">, de conformidad con lo señalado en el párrafo </w:t>
      </w:r>
      <w:r>
        <w:rPr>
          <w:lang w:val="es-ES"/>
        </w:rPr>
        <w:t>122</w:t>
      </w:r>
      <w:r w:rsidRPr="00F955EE">
        <w:rPr>
          <w:lang w:val="es-ES"/>
        </w:rPr>
        <w:t xml:space="preserve"> de la presente Sentencia.</w:t>
      </w:r>
    </w:p>
    <w:p w14:paraId="55FDE278" w14:textId="77777777" w:rsidR="004B4532" w:rsidRPr="00F955EE" w:rsidRDefault="004B4532" w:rsidP="004B4532">
      <w:pPr>
        <w:tabs>
          <w:tab w:val="left" w:pos="720"/>
        </w:tabs>
        <w:spacing w:line="20" w:lineRule="atLeast"/>
        <w:ind w:right="-90"/>
        <w:contextualSpacing/>
        <w:rPr>
          <w:rFonts w:eastAsia="MS Mincho"/>
          <w:lang w:val="es-ES" w:bidi="en-US"/>
        </w:rPr>
      </w:pPr>
    </w:p>
    <w:p w14:paraId="7F906854" w14:textId="04473D85" w:rsidR="001C0A41" w:rsidRPr="00F955EE" w:rsidRDefault="001C0A41" w:rsidP="004F0770">
      <w:pPr>
        <w:numPr>
          <w:ilvl w:val="0"/>
          <w:numId w:val="5"/>
        </w:numPr>
        <w:tabs>
          <w:tab w:val="left" w:pos="720"/>
        </w:tabs>
        <w:spacing w:line="20" w:lineRule="atLeast"/>
        <w:ind w:right="-90"/>
        <w:contextualSpacing/>
        <w:rPr>
          <w:bCs/>
          <w:lang w:val="es-ES"/>
        </w:rPr>
      </w:pPr>
      <w:r w:rsidRPr="00F955EE">
        <w:rPr>
          <w:bCs/>
          <w:lang w:val="es-ES"/>
        </w:rPr>
        <w:t xml:space="preserve">El Estado pagará las cantidades fijadas en </w:t>
      </w:r>
      <w:r w:rsidR="00563CA7">
        <w:rPr>
          <w:bCs/>
          <w:lang w:val="es-ES"/>
        </w:rPr>
        <w:t>los</w:t>
      </w:r>
      <w:r w:rsidRPr="00F955EE">
        <w:rPr>
          <w:bCs/>
          <w:lang w:val="es-ES"/>
        </w:rPr>
        <w:t xml:space="preserve"> párrafo</w:t>
      </w:r>
      <w:r w:rsidR="00563CA7">
        <w:rPr>
          <w:bCs/>
          <w:lang w:val="es-ES"/>
        </w:rPr>
        <w:t>s</w:t>
      </w:r>
      <w:r w:rsidRPr="00F955EE">
        <w:rPr>
          <w:bCs/>
          <w:lang w:val="es-ES"/>
        </w:rPr>
        <w:t xml:space="preserve"> </w:t>
      </w:r>
      <w:r w:rsidR="00563CA7">
        <w:rPr>
          <w:bCs/>
          <w:lang w:val="es-ES"/>
        </w:rPr>
        <w:t>128, 129, 135 y 136</w:t>
      </w:r>
      <w:r w:rsidRPr="00F955EE">
        <w:rPr>
          <w:bCs/>
          <w:lang w:val="es-ES"/>
        </w:rPr>
        <w:t xml:space="preserve"> de la presente Sentencia por concepto de indemnización por concepto de daño material e inmaterial.</w:t>
      </w:r>
    </w:p>
    <w:p w14:paraId="619313E8" w14:textId="77777777" w:rsidR="001B680E" w:rsidRPr="00F955EE" w:rsidRDefault="001B680E" w:rsidP="00E06F63">
      <w:pPr>
        <w:tabs>
          <w:tab w:val="left" w:pos="720"/>
        </w:tabs>
        <w:spacing w:line="20" w:lineRule="atLeast"/>
        <w:ind w:right="-90"/>
        <w:contextualSpacing/>
        <w:rPr>
          <w:bCs/>
          <w:lang w:val="es-ES"/>
        </w:rPr>
      </w:pPr>
    </w:p>
    <w:p w14:paraId="1A30B1BC" w14:textId="1D1DE1D7" w:rsidR="004B4532" w:rsidRPr="004B4532" w:rsidRDefault="001B680E" w:rsidP="004F0770">
      <w:pPr>
        <w:numPr>
          <w:ilvl w:val="0"/>
          <w:numId w:val="5"/>
        </w:numPr>
        <w:tabs>
          <w:tab w:val="left" w:pos="720"/>
        </w:tabs>
        <w:spacing w:line="20" w:lineRule="atLeast"/>
        <w:ind w:right="-90"/>
        <w:contextualSpacing/>
        <w:rPr>
          <w:lang w:val="es-ES"/>
        </w:rPr>
      </w:pPr>
      <w:r w:rsidRPr="00F955EE">
        <w:rPr>
          <w:lang w:val="es-ES"/>
        </w:rPr>
        <w:t xml:space="preserve">El Estado </w:t>
      </w:r>
      <w:r w:rsidR="00367639" w:rsidRPr="00F955EE">
        <w:rPr>
          <w:lang w:val="es-ES"/>
        </w:rPr>
        <w:t>reintegrará</w:t>
      </w:r>
      <w:r w:rsidRPr="00F955EE">
        <w:rPr>
          <w:lang w:val="es-ES"/>
        </w:rPr>
        <w:t xml:space="preserve"> al Fondo de Asistencia Legal de Víctimas de la Corte Interamericana de Derechos Humanos la cantidad erogada durante la tramitación del presente caso, en los términos de</w:t>
      </w:r>
      <w:r w:rsidR="00643BE9">
        <w:rPr>
          <w:lang w:val="es-ES"/>
        </w:rPr>
        <w:t xml:space="preserve"> </w:t>
      </w:r>
      <w:r w:rsidRPr="00F955EE">
        <w:rPr>
          <w:lang w:val="es-ES"/>
        </w:rPr>
        <w:t>l</w:t>
      </w:r>
      <w:r w:rsidR="00643BE9">
        <w:rPr>
          <w:lang w:val="es-ES"/>
        </w:rPr>
        <w:t>os</w:t>
      </w:r>
      <w:r w:rsidRPr="00F955EE">
        <w:rPr>
          <w:lang w:val="es-ES"/>
        </w:rPr>
        <w:t xml:space="preserve"> párrafo</w:t>
      </w:r>
      <w:r w:rsidR="00643BE9">
        <w:rPr>
          <w:lang w:val="es-ES"/>
        </w:rPr>
        <w:t>s</w:t>
      </w:r>
      <w:r w:rsidRPr="00F955EE">
        <w:rPr>
          <w:lang w:val="es-ES"/>
        </w:rPr>
        <w:t xml:space="preserve"> </w:t>
      </w:r>
      <w:r w:rsidR="001C27BA">
        <w:rPr>
          <w:lang w:val="es-ES"/>
        </w:rPr>
        <w:t>140</w:t>
      </w:r>
      <w:r w:rsidR="00643BE9">
        <w:rPr>
          <w:lang w:val="es-ES"/>
        </w:rPr>
        <w:t xml:space="preserve"> y 146</w:t>
      </w:r>
      <w:r w:rsidRPr="00F955EE">
        <w:rPr>
          <w:lang w:val="es-ES"/>
        </w:rPr>
        <w:t xml:space="preserve"> de esta Sentencia.</w:t>
      </w:r>
    </w:p>
    <w:p w14:paraId="6B304C6D" w14:textId="00B68D55" w:rsidR="001B680E" w:rsidRPr="00F955EE" w:rsidRDefault="001B680E" w:rsidP="004F0770">
      <w:pPr>
        <w:numPr>
          <w:ilvl w:val="0"/>
          <w:numId w:val="5"/>
        </w:numPr>
        <w:tabs>
          <w:tab w:val="left" w:pos="720"/>
        </w:tabs>
        <w:spacing w:line="20" w:lineRule="atLeast"/>
        <w:ind w:right="-90"/>
        <w:contextualSpacing/>
        <w:rPr>
          <w:rFonts w:eastAsia="MS Mincho"/>
          <w:bCs/>
          <w:lang w:val="es-ES" w:bidi="en-US"/>
        </w:rPr>
      </w:pPr>
      <w:r w:rsidRPr="00F955EE">
        <w:rPr>
          <w:bCs/>
          <w:lang w:val="es-ES"/>
        </w:rPr>
        <w:t xml:space="preserve">El Estado, dentro del plazo de un año contado a partir de la notificación de esta Sentencia, </w:t>
      </w:r>
      <w:r w:rsidR="00367639" w:rsidRPr="00F955EE">
        <w:rPr>
          <w:bCs/>
          <w:lang w:val="es-ES"/>
        </w:rPr>
        <w:t>rendirá</w:t>
      </w:r>
      <w:r w:rsidRPr="00F955EE">
        <w:rPr>
          <w:bCs/>
          <w:lang w:val="es-ES"/>
        </w:rPr>
        <w:t xml:space="preserve"> al Tribunal un informe sobre las medidas adoptadas para cumplir con la misma</w:t>
      </w:r>
      <w:r w:rsidR="00643BE9" w:rsidRPr="00643BE9">
        <w:rPr>
          <w:bCs/>
        </w:rPr>
        <w:t>, sin perjuicio de</w:t>
      </w:r>
      <w:r w:rsidR="00643BE9">
        <w:rPr>
          <w:bCs/>
        </w:rPr>
        <w:t xml:space="preserve"> lo establecido en el párrafo </w:t>
      </w:r>
      <w:r w:rsidR="00643BE9" w:rsidRPr="00643BE9">
        <w:rPr>
          <w:bCs/>
        </w:rPr>
        <w:t>1</w:t>
      </w:r>
      <w:r w:rsidR="00643BE9">
        <w:rPr>
          <w:bCs/>
        </w:rPr>
        <w:t>18</w:t>
      </w:r>
      <w:r w:rsidR="00643BE9" w:rsidRPr="00643BE9">
        <w:rPr>
          <w:bCs/>
        </w:rPr>
        <w:t xml:space="preserve"> de la presente Sentencia.</w:t>
      </w:r>
    </w:p>
    <w:p w14:paraId="36F0CF09" w14:textId="77777777" w:rsidR="001B680E" w:rsidRPr="00F955EE" w:rsidRDefault="001B680E" w:rsidP="00E06F63">
      <w:pPr>
        <w:tabs>
          <w:tab w:val="left" w:pos="720"/>
        </w:tabs>
        <w:spacing w:line="20" w:lineRule="atLeast"/>
        <w:ind w:right="-90"/>
        <w:contextualSpacing/>
        <w:rPr>
          <w:rFonts w:eastAsia="MS Mincho"/>
          <w:bCs/>
          <w:lang w:val="es-ES" w:bidi="en-US"/>
        </w:rPr>
      </w:pPr>
    </w:p>
    <w:p w14:paraId="3B8984AC" w14:textId="524304D5" w:rsidR="000746A8" w:rsidRPr="000746A8" w:rsidRDefault="001B680E" w:rsidP="004F0770">
      <w:pPr>
        <w:numPr>
          <w:ilvl w:val="0"/>
          <w:numId w:val="5"/>
        </w:numPr>
        <w:tabs>
          <w:tab w:val="left" w:pos="720"/>
        </w:tabs>
        <w:spacing w:line="20" w:lineRule="atLeast"/>
        <w:ind w:right="-90"/>
        <w:contextualSpacing/>
        <w:rPr>
          <w:b/>
          <w:bCs/>
          <w:lang w:val="es-ES"/>
        </w:rPr>
      </w:pPr>
      <w:r w:rsidRPr="00F955EE">
        <w:rPr>
          <w:bCs/>
          <w:lang w:val="es-ES"/>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64DCB26F" w14:textId="33AF59A6" w:rsidR="001E3203" w:rsidRDefault="000746A8" w:rsidP="00B14CAC">
      <w:pPr>
        <w:widowControl/>
        <w:adjustRightInd/>
        <w:spacing w:before="100" w:beforeAutospacing="1" w:after="100" w:afterAutospacing="1"/>
        <w:textAlignment w:val="auto"/>
        <w:rPr>
          <w:lang w:val="es-ES" w:eastAsia="es-ES_tradnl"/>
        </w:rPr>
      </w:pPr>
      <w:r>
        <w:rPr>
          <w:lang w:val="es-ES" w:eastAsia="es-ES_tradnl"/>
        </w:rPr>
        <w:t xml:space="preserve">Los Jueces Eugenio Raúl Zaffaroni y </w:t>
      </w:r>
      <w:r w:rsidRPr="00F955EE">
        <w:rPr>
          <w:rFonts w:eastAsia="Calibri" w:cs="Verdana"/>
          <w:lang w:val="es-ES"/>
        </w:rPr>
        <w:t>L. Patricio Pazmiño Freire</w:t>
      </w:r>
      <w:r>
        <w:rPr>
          <w:lang w:val="es-ES" w:eastAsia="es-ES_tradnl"/>
        </w:rPr>
        <w:t xml:space="preserve"> dieron</w:t>
      </w:r>
      <w:r w:rsidRPr="000746A8">
        <w:rPr>
          <w:lang w:val="es-ES" w:eastAsia="es-ES_tradnl"/>
        </w:rPr>
        <w:t xml:space="preserve"> a conocer a la Corte su</w:t>
      </w:r>
      <w:r w:rsidR="00643BE9">
        <w:rPr>
          <w:lang w:val="es-ES" w:eastAsia="es-ES_tradnl"/>
        </w:rPr>
        <w:t>s</w:t>
      </w:r>
      <w:r w:rsidRPr="000746A8">
        <w:rPr>
          <w:lang w:val="es-ES" w:eastAsia="es-ES_tradnl"/>
        </w:rPr>
        <w:t xml:space="preserve"> voto</w:t>
      </w:r>
      <w:r w:rsidR="00643BE9">
        <w:rPr>
          <w:lang w:val="es-ES" w:eastAsia="es-ES_tradnl"/>
        </w:rPr>
        <w:t>s</w:t>
      </w:r>
      <w:r w:rsidRPr="000746A8">
        <w:rPr>
          <w:lang w:val="es-ES" w:eastAsia="es-ES_tradnl"/>
        </w:rPr>
        <w:t xml:space="preserve"> individual</w:t>
      </w:r>
      <w:r w:rsidR="00643BE9">
        <w:rPr>
          <w:lang w:val="es-ES" w:eastAsia="es-ES_tradnl"/>
        </w:rPr>
        <w:t>es</w:t>
      </w:r>
      <w:r w:rsidRPr="000746A8">
        <w:rPr>
          <w:lang w:val="es-ES" w:eastAsia="es-ES_tradnl"/>
        </w:rPr>
        <w:t xml:space="preserve"> concurrente</w:t>
      </w:r>
      <w:r w:rsidR="00643BE9">
        <w:rPr>
          <w:lang w:val="es-ES" w:eastAsia="es-ES_tradnl"/>
        </w:rPr>
        <w:t>s</w:t>
      </w:r>
      <w:r w:rsidRPr="000746A8">
        <w:rPr>
          <w:lang w:val="es-ES" w:eastAsia="es-ES_tradnl"/>
        </w:rPr>
        <w:t xml:space="preserve">, </w:t>
      </w:r>
      <w:r>
        <w:rPr>
          <w:lang w:val="es-ES" w:eastAsia="es-ES_tradnl"/>
        </w:rPr>
        <w:t>los</w:t>
      </w:r>
      <w:r w:rsidRPr="000746A8">
        <w:rPr>
          <w:lang w:val="es-ES" w:eastAsia="es-ES_tradnl"/>
        </w:rPr>
        <w:t xml:space="preserve"> cual</w:t>
      </w:r>
      <w:r>
        <w:rPr>
          <w:lang w:val="es-ES" w:eastAsia="es-ES_tradnl"/>
        </w:rPr>
        <w:t>es</w:t>
      </w:r>
      <w:r w:rsidRPr="000746A8">
        <w:rPr>
          <w:lang w:val="es-ES" w:eastAsia="es-ES_tradnl"/>
        </w:rPr>
        <w:t xml:space="preserve"> acompaña</w:t>
      </w:r>
      <w:r>
        <w:rPr>
          <w:lang w:val="es-ES" w:eastAsia="es-ES_tradnl"/>
        </w:rPr>
        <w:t>n a la presente</w:t>
      </w:r>
      <w:r w:rsidRPr="000746A8">
        <w:rPr>
          <w:lang w:val="es-ES" w:eastAsia="es-ES_tradnl"/>
        </w:rPr>
        <w:t xml:space="preserve"> Sentencia. </w:t>
      </w:r>
    </w:p>
    <w:p w14:paraId="690F0793" w14:textId="77777777" w:rsidR="001E3203" w:rsidRDefault="001E3203">
      <w:pPr>
        <w:widowControl/>
        <w:adjustRightInd/>
        <w:jc w:val="left"/>
        <w:textAlignment w:val="auto"/>
        <w:rPr>
          <w:lang w:val="es-ES" w:eastAsia="es-ES_tradnl"/>
        </w:rPr>
      </w:pPr>
      <w:r>
        <w:rPr>
          <w:lang w:val="es-ES" w:eastAsia="es-ES_tradnl"/>
        </w:rPr>
        <w:br w:type="page"/>
      </w:r>
    </w:p>
    <w:p w14:paraId="67188B92" w14:textId="77777777" w:rsidR="001B680E" w:rsidRPr="00943613" w:rsidRDefault="001B680E" w:rsidP="00B14CAC">
      <w:pPr>
        <w:widowControl/>
        <w:adjustRightInd/>
        <w:spacing w:before="100" w:beforeAutospacing="1" w:after="100" w:afterAutospacing="1"/>
        <w:textAlignment w:val="auto"/>
        <w:rPr>
          <w:lang w:val="es-ES" w:eastAsia="es-ES_tradnl"/>
        </w:rPr>
      </w:pPr>
    </w:p>
    <w:p w14:paraId="48B84438" w14:textId="77777777" w:rsidR="001E3203" w:rsidRDefault="001B680E" w:rsidP="001E3203">
      <w:r w:rsidRPr="00F955EE">
        <w:rPr>
          <w:rFonts w:cs="Verdana"/>
          <w:lang w:val="es-ES"/>
        </w:rPr>
        <w:t xml:space="preserve">Redactada en español en </w:t>
      </w:r>
      <w:r w:rsidR="00A316CD" w:rsidRPr="00F955EE">
        <w:rPr>
          <w:rFonts w:cs="Verdana"/>
          <w:lang w:val="es-ES"/>
        </w:rPr>
        <w:t xml:space="preserve">San José, Costa Rica, </w:t>
      </w:r>
      <w:r w:rsidRPr="00F955EE">
        <w:rPr>
          <w:rFonts w:cs="Verdana"/>
          <w:lang w:val="es-ES"/>
        </w:rPr>
        <w:t xml:space="preserve">el </w:t>
      </w:r>
      <w:r w:rsidR="006E6C6B">
        <w:rPr>
          <w:rFonts w:cs="Verdana"/>
          <w:lang w:val="es-ES"/>
        </w:rPr>
        <w:t>3</w:t>
      </w:r>
      <w:r w:rsidRPr="00F955EE">
        <w:rPr>
          <w:rFonts w:cs="Verdana"/>
          <w:lang w:val="es-ES"/>
        </w:rPr>
        <w:t xml:space="preserve"> de </w:t>
      </w:r>
      <w:r w:rsidR="00250831">
        <w:rPr>
          <w:rFonts w:cs="Verdana"/>
          <w:lang w:val="es-ES"/>
        </w:rPr>
        <w:t>junio</w:t>
      </w:r>
      <w:r w:rsidRPr="00F955EE">
        <w:rPr>
          <w:rFonts w:cs="Verdana"/>
          <w:lang w:val="es-ES"/>
        </w:rPr>
        <w:t xml:space="preserve"> de </w:t>
      </w:r>
      <w:r w:rsidR="00616A72" w:rsidRPr="00F955EE">
        <w:rPr>
          <w:rFonts w:cs="Verdana"/>
          <w:lang w:val="es-ES"/>
        </w:rPr>
        <w:t>2020</w:t>
      </w:r>
      <w:r w:rsidRPr="00F955EE">
        <w:rPr>
          <w:rFonts w:cs="Verdana"/>
          <w:lang w:val="es-ES"/>
        </w:rPr>
        <w:t>.</w:t>
      </w:r>
      <w:r w:rsidR="001E3203">
        <w:rPr>
          <w:rFonts w:cs="Verdana"/>
          <w:lang w:val="es-ES"/>
        </w:rPr>
        <w:t xml:space="preserve"> </w:t>
      </w:r>
      <w:r w:rsidR="001E3203">
        <w:t xml:space="preserve">Corte IDH. </w:t>
      </w:r>
      <w:r w:rsidR="001E3203" w:rsidRPr="00433F2D">
        <w:rPr>
          <w:i/>
        </w:rPr>
        <w:t xml:space="preserve">Caso </w:t>
      </w:r>
      <w:r w:rsidR="001E3203">
        <w:rPr>
          <w:i/>
        </w:rPr>
        <w:t>Roche Azaña y otros Vs. Nicaragua</w:t>
      </w:r>
      <w:r w:rsidR="001E3203">
        <w:t>.  Fondo y Reparaciones. Sentencia de 3 de junio de 2020.</w:t>
      </w:r>
    </w:p>
    <w:p w14:paraId="601E0596" w14:textId="77777777" w:rsidR="001E3203" w:rsidRDefault="001E3203" w:rsidP="001E3203">
      <w:pPr>
        <w:widowControl/>
        <w:adjustRightInd/>
        <w:jc w:val="center"/>
        <w:textAlignment w:val="auto"/>
        <w:rPr>
          <w:rFonts w:cs="Verdana"/>
          <w:lang w:val="es-ES"/>
        </w:rPr>
      </w:pPr>
    </w:p>
    <w:p w14:paraId="7AC9453F" w14:textId="77777777" w:rsidR="001E3203" w:rsidRDefault="001E3203" w:rsidP="001E3203">
      <w:pPr>
        <w:widowControl/>
        <w:adjustRightInd/>
        <w:jc w:val="center"/>
        <w:textAlignment w:val="auto"/>
        <w:rPr>
          <w:rFonts w:cs="Verdana"/>
          <w:lang w:val="es-ES"/>
        </w:rPr>
      </w:pPr>
    </w:p>
    <w:p w14:paraId="16728876" w14:textId="77777777" w:rsidR="001E3203" w:rsidRDefault="001E3203" w:rsidP="001E3203">
      <w:pPr>
        <w:widowControl/>
        <w:adjustRightInd/>
        <w:jc w:val="center"/>
        <w:textAlignment w:val="auto"/>
        <w:rPr>
          <w:rFonts w:cs="Verdana"/>
          <w:lang w:val="es-ES"/>
        </w:rPr>
      </w:pPr>
    </w:p>
    <w:p w14:paraId="42E9D309" w14:textId="77777777" w:rsidR="001E3203" w:rsidRDefault="001E3203" w:rsidP="001E3203">
      <w:pPr>
        <w:widowControl/>
        <w:adjustRightInd/>
        <w:jc w:val="center"/>
        <w:textAlignment w:val="auto"/>
        <w:rPr>
          <w:rFonts w:cs="Verdana"/>
          <w:lang w:val="es-ES"/>
        </w:rPr>
      </w:pPr>
    </w:p>
    <w:p w14:paraId="1F51D4A4" w14:textId="77777777" w:rsidR="001E3203" w:rsidRDefault="001E3203" w:rsidP="001E3203">
      <w:pPr>
        <w:jc w:val="center"/>
      </w:pPr>
      <w:r>
        <w:t>Elizabeth Odio Benito</w:t>
      </w:r>
    </w:p>
    <w:p w14:paraId="21575F49" w14:textId="77777777" w:rsidR="001E3203" w:rsidRDefault="001E3203" w:rsidP="001E3203">
      <w:pPr>
        <w:jc w:val="center"/>
      </w:pPr>
      <w:r>
        <w:t>Presidenta</w:t>
      </w:r>
    </w:p>
    <w:p w14:paraId="2FEF46D7" w14:textId="77777777" w:rsidR="001E3203" w:rsidRDefault="001E3203" w:rsidP="001E3203"/>
    <w:p w14:paraId="097D7F59" w14:textId="77777777" w:rsidR="001E3203" w:rsidRDefault="001E3203" w:rsidP="001E3203"/>
    <w:p w14:paraId="2E8B399F" w14:textId="77777777" w:rsidR="001E3203" w:rsidRDefault="001E3203" w:rsidP="001E3203"/>
    <w:p w14:paraId="2E2E5CC2" w14:textId="77777777" w:rsidR="001E3203" w:rsidRDefault="001E3203" w:rsidP="001E3203"/>
    <w:p w14:paraId="43A949B4" w14:textId="77777777" w:rsidR="001E3203" w:rsidRDefault="001E3203" w:rsidP="001E3203"/>
    <w:p w14:paraId="507D6651" w14:textId="77777777" w:rsidR="001E3203" w:rsidRPr="00DE3516" w:rsidRDefault="001E3203" w:rsidP="001E3203">
      <w:r>
        <w:t>L. Patricio Pazmiño Freire</w:t>
      </w:r>
      <w:r>
        <w:tab/>
      </w:r>
      <w:r>
        <w:tab/>
      </w:r>
      <w:r>
        <w:tab/>
      </w:r>
      <w:r>
        <w:tab/>
      </w:r>
      <w:r>
        <w:tab/>
      </w:r>
      <w:r>
        <w:tab/>
        <w:t xml:space="preserve">      Eduardo Vio Grossi</w:t>
      </w:r>
    </w:p>
    <w:p w14:paraId="75CB08CA" w14:textId="77777777" w:rsidR="001E3203" w:rsidRDefault="001E3203" w:rsidP="001E3203"/>
    <w:p w14:paraId="091D25A5" w14:textId="77777777" w:rsidR="001E3203" w:rsidRDefault="001E3203" w:rsidP="001E3203"/>
    <w:p w14:paraId="3E39F2F3" w14:textId="77777777" w:rsidR="001E3203" w:rsidRDefault="001E3203" w:rsidP="001E3203"/>
    <w:p w14:paraId="502A1D1B" w14:textId="77777777" w:rsidR="001E3203" w:rsidRDefault="001E3203" w:rsidP="001E3203"/>
    <w:p w14:paraId="7AAB83ED" w14:textId="77777777" w:rsidR="001E3203" w:rsidRDefault="001E3203" w:rsidP="001E3203">
      <w:r>
        <w:t>Humberto Antonio Sierra Porto</w:t>
      </w:r>
      <w:r>
        <w:tab/>
      </w:r>
      <w:r>
        <w:tab/>
      </w:r>
      <w:r>
        <w:tab/>
      </w:r>
      <w:r>
        <w:tab/>
        <w:t xml:space="preserve">   Eduardo Ferrer Mac-Gregor Poisot </w:t>
      </w:r>
    </w:p>
    <w:p w14:paraId="20F10340" w14:textId="77777777" w:rsidR="001E3203" w:rsidRDefault="001E3203" w:rsidP="001E3203"/>
    <w:p w14:paraId="5916744F" w14:textId="77777777" w:rsidR="001E3203" w:rsidRDefault="001E3203" w:rsidP="001E3203"/>
    <w:p w14:paraId="4D78CE2B" w14:textId="77777777" w:rsidR="001E3203" w:rsidRDefault="001E3203" w:rsidP="001E3203"/>
    <w:p w14:paraId="2E8A2ECC" w14:textId="77777777" w:rsidR="001E3203" w:rsidRDefault="001E3203" w:rsidP="001E3203"/>
    <w:p w14:paraId="06322686" w14:textId="77777777" w:rsidR="001E3203" w:rsidRDefault="001E3203" w:rsidP="001E3203">
      <w:r>
        <w:t>Eugenio Raúl Zaffaroni</w:t>
      </w:r>
      <w:r>
        <w:tab/>
      </w:r>
      <w:r>
        <w:tab/>
      </w:r>
      <w:r>
        <w:tab/>
      </w:r>
      <w:r>
        <w:tab/>
      </w:r>
      <w:r>
        <w:tab/>
        <w:t xml:space="preserve">        Ricardo </w:t>
      </w:r>
      <w:r w:rsidRPr="00433F2D">
        <w:t>C.</w:t>
      </w:r>
      <w:r>
        <w:t xml:space="preserve"> Pérez Manrique</w:t>
      </w:r>
    </w:p>
    <w:p w14:paraId="4CFC910F" w14:textId="77777777" w:rsidR="001E3203" w:rsidRDefault="001E3203" w:rsidP="001E3203"/>
    <w:p w14:paraId="1055D700" w14:textId="77777777" w:rsidR="001E3203" w:rsidRDefault="001E3203" w:rsidP="001E3203">
      <w:pPr>
        <w:tabs>
          <w:tab w:val="left" w:pos="8460"/>
          <w:tab w:val="left" w:pos="8640"/>
        </w:tabs>
      </w:pPr>
    </w:p>
    <w:p w14:paraId="4825D9B7" w14:textId="77777777" w:rsidR="001E3203" w:rsidRDefault="001E3203" w:rsidP="001E3203">
      <w:pPr>
        <w:tabs>
          <w:tab w:val="left" w:pos="8460"/>
          <w:tab w:val="left" w:pos="8640"/>
        </w:tabs>
      </w:pPr>
    </w:p>
    <w:p w14:paraId="6F1E1C97" w14:textId="77777777" w:rsidR="001E3203" w:rsidRPr="00274D2F" w:rsidRDefault="001E3203" w:rsidP="001E3203">
      <w:pPr>
        <w:tabs>
          <w:tab w:val="left" w:pos="8460"/>
          <w:tab w:val="left" w:pos="8640"/>
        </w:tabs>
      </w:pPr>
    </w:p>
    <w:p w14:paraId="713BC842" w14:textId="77777777" w:rsidR="001E3203" w:rsidRDefault="001E3203" w:rsidP="001E3203">
      <w:pPr>
        <w:tabs>
          <w:tab w:val="left" w:pos="8460"/>
          <w:tab w:val="left" w:pos="8640"/>
        </w:tabs>
        <w:jc w:val="center"/>
      </w:pPr>
      <w:r>
        <w:t>Pablo Saavedra Alessandri</w:t>
      </w:r>
    </w:p>
    <w:p w14:paraId="1D7E927A" w14:textId="77777777" w:rsidR="001E3203" w:rsidRDefault="001E3203" w:rsidP="001E3203">
      <w:pPr>
        <w:tabs>
          <w:tab w:val="left" w:pos="8460"/>
          <w:tab w:val="left" w:pos="8640"/>
        </w:tabs>
        <w:jc w:val="center"/>
      </w:pPr>
      <w:r>
        <w:t>Secretario</w:t>
      </w:r>
    </w:p>
    <w:p w14:paraId="1BC60799" w14:textId="77777777" w:rsidR="001E3203" w:rsidRDefault="001E3203" w:rsidP="001E3203">
      <w:pPr>
        <w:tabs>
          <w:tab w:val="left" w:pos="8460"/>
          <w:tab w:val="left" w:pos="8640"/>
        </w:tabs>
      </w:pPr>
    </w:p>
    <w:p w14:paraId="171E31AE" w14:textId="77777777" w:rsidR="001E3203" w:rsidRDefault="001E3203" w:rsidP="001E3203"/>
    <w:p w14:paraId="7C64A36B" w14:textId="77777777" w:rsidR="001E3203" w:rsidRDefault="001E3203" w:rsidP="001E3203">
      <w:pPr>
        <w:tabs>
          <w:tab w:val="left" w:pos="8460"/>
          <w:tab w:val="left" w:pos="8640"/>
        </w:tabs>
      </w:pPr>
      <w:r>
        <w:t>Comuníquese y ejecútese,</w:t>
      </w:r>
    </w:p>
    <w:p w14:paraId="3BDE3D74" w14:textId="77777777" w:rsidR="001E3203" w:rsidRDefault="001E3203" w:rsidP="001E3203">
      <w:pPr>
        <w:tabs>
          <w:tab w:val="left" w:pos="8460"/>
          <w:tab w:val="left" w:pos="8640"/>
        </w:tabs>
      </w:pPr>
    </w:p>
    <w:p w14:paraId="57E84F19" w14:textId="77777777" w:rsidR="001E3203" w:rsidRDefault="001E3203" w:rsidP="001E3203">
      <w:pPr>
        <w:tabs>
          <w:tab w:val="left" w:pos="8460"/>
          <w:tab w:val="left" w:pos="8640"/>
        </w:tabs>
      </w:pPr>
    </w:p>
    <w:p w14:paraId="062F689F" w14:textId="77777777" w:rsidR="001E3203" w:rsidRDefault="001E3203" w:rsidP="001E3203">
      <w:pPr>
        <w:tabs>
          <w:tab w:val="left" w:pos="8460"/>
          <w:tab w:val="left" w:pos="8640"/>
        </w:tabs>
      </w:pPr>
    </w:p>
    <w:p w14:paraId="63CD5CDF" w14:textId="77777777" w:rsidR="001E3203" w:rsidRDefault="001E3203" w:rsidP="001E3203">
      <w:pPr>
        <w:jc w:val="right"/>
      </w:pPr>
      <w:r>
        <w:t>Elizabeth Odio Benito</w:t>
      </w:r>
    </w:p>
    <w:p w14:paraId="5870D14B" w14:textId="77777777" w:rsidR="001E3203" w:rsidRDefault="001E3203" w:rsidP="001E3203">
      <w:pPr>
        <w:ind w:left="7200" w:right="299"/>
      </w:pPr>
      <w:r>
        <w:t>Presidenta</w:t>
      </w:r>
    </w:p>
    <w:p w14:paraId="7B1A14DE" w14:textId="77777777" w:rsidR="001E3203" w:rsidRDefault="001E3203" w:rsidP="001E3203">
      <w:pPr>
        <w:tabs>
          <w:tab w:val="left" w:pos="8460"/>
          <w:tab w:val="left" w:pos="8640"/>
        </w:tabs>
      </w:pPr>
    </w:p>
    <w:p w14:paraId="329F74B2" w14:textId="77777777" w:rsidR="001E3203" w:rsidRDefault="001E3203" w:rsidP="001E3203">
      <w:pPr>
        <w:tabs>
          <w:tab w:val="left" w:pos="8460"/>
          <w:tab w:val="left" w:pos="8640"/>
        </w:tabs>
      </w:pPr>
    </w:p>
    <w:p w14:paraId="2A4CA7CF" w14:textId="77777777" w:rsidR="001E3203" w:rsidRDefault="001E3203" w:rsidP="001E3203">
      <w:pPr>
        <w:tabs>
          <w:tab w:val="left" w:pos="8460"/>
          <w:tab w:val="left" w:pos="8640"/>
        </w:tabs>
      </w:pPr>
    </w:p>
    <w:p w14:paraId="59CE6D31" w14:textId="77777777" w:rsidR="001E3203" w:rsidRDefault="001E3203" w:rsidP="001E3203">
      <w:pPr>
        <w:tabs>
          <w:tab w:val="left" w:pos="8460"/>
          <w:tab w:val="left" w:pos="8640"/>
        </w:tabs>
      </w:pPr>
      <w:r>
        <w:t>Pablo Saavedra Alessandri</w:t>
      </w:r>
    </w:p>
    <w:p w14:paraId="5F3FC518" w14:textId="77777777" w:rsidR="001E3203" w:rsidRDefault="001E3203" w:rsidP="001E3203">
      <w:pPr>
        <w:tabs>
          <w:tab w:val="left" w:pos="8640"/>
        </w:tabs>
        <w:ind w:left="720"/>
      </w:pPr>
      <w:r>
        <w:t xml:space="preserve">  Secretario</w:t>
      </w:r>
    </w:p>
    <w:p w14:paraId="2C7910D2" w14:textId="77777777" w:rsidR="001E3203" w:rsidRDefault="001E3203" w:rsidP="001E3203"/>
    <w:p w14:paraId="3B871FBB" w14:textId="77777777" w:rsidR="001E3203" w:rsidRDefault="001E3203" w:rsidP="001E3203"/>
    <w:p w14:paraId="49D921CC" w14:textId="77777777" w:rsidR="001E3203" w:rsidRDefault="001E3203" w:rsidP="001E3203"/>
    <w:p w14:paraId="29F27949" w14:textId="77777777" w:rsidR="001E3203" w:rsidRDefault="001E3203" w:rsidP="001E3203"/>
    <w:p w14:paraId="78108892" w14:textId="5623A7C1" w:rsidR="009904A2" w:rsidRDefault="009904A2" w:rsidP="002373EF">
      <w:pPr>
        <w:tabs>
          <w:tab w:val="left" w:pos="720"/>
        </w:tabs>
        <w:spacing w:line="20" w:lineRule="atLeast"/>
        <w:ind w:right="-93"/>
        <w:contextualSpacing/>
        <w:jc w:val="left"/>
        <w:rPr>
          <w:rFonts w:cs="Verdana"/>
          <w:lang w:val="es-ES"/>
        </w:rPr>
        <w:sectPr w:rsidR="009904A2" w:rsidSect="00EE1EB0">
          <w:headerReference w:type="default" r:id="rId9"/>
          <w:footerReference w:type="default" r:id="rId10"/>
          <w:footerReference w:type="first" r:id="rId11"/>
          <w:pgSz w:w="12240" w:h="15840"/>
          <w:pgMar w:top="1440" w:right="1080" w:bottom="540" w:left="1080" w:header="708" w:footer="708" w:gutter="0"/>
          <w:cols w:space="708"/>
          <w:titlePg/>
          <w:docGrid w:linePitch="360"/>
        </w:sectPr>
      </w:pPr>
    </w:p>
    <w:p w14:paraId="36E5C3AD" w14:textId="77777777" w:rsidR="0084184A" w:rsidRPr="001D29F7" w:rsidRDefault="0084184A" w:rsidP="0084184A">
      <w:pPr>
        <w:ind w:left="708" w:hanging="708"/>
        <w:jc w:val="center"/>
        <w:rPr>
          <w:b/>
          <w:lang w:val="es-DO"/>
        </w:rPr>
      </w:pPr>
      <w:r w:rsidRPr="001D29F7">
        <w:rPr>
          <w:b/>
          <w:lang w:val="es-DO"/>
        </w:rPr>
        <w:t xml:space="preserve">VOTO CONCURRENTE </w:t>
      </w:r>
    </w:p>
    <w:p w14:paraId="27908E7A" w14:textId="77777777" w:rsidR="0084184A" w:rsidRPr="001D29F7" w:rsidRDefault="0084184A" w:rsidP="0084184A">
      <w:pPr>
        <w:jc w:val="center"/>
        <w:rPr>
          <w:b/>
          <w:lang w:val="es-DO"/>
        </w:rPr>
      </w:pPr>
      <w:r w:rsidRPr="001D29F7">
        <w:rPr>
          <w:b/>
          <w:lang w:val="es-DO"/>
        </w:rPr>
        <w:t>JUEZ L. PATRICIO PAZMIÑO FREIRE</w:t>
      </w:r>
    </w:p>
    <w:p w14:paraId="6FB6B4DC" w14:textId="77777777" w:rsidR="0084184A" w:rsidRPr="001D29F7" w:rsidRDefault="0084184A" w:rsidP="0084184A">
      <w:pPr>
        <w:jc w:val="center"/>
        <w:rPr>
          <w:b/>
          <w:lang w:val="es-DO"/>
        </w:rPr>
      </w:pPr>
    </w:p>
    <w:p w14:paraId="4F455442" w14:textId="77777777" w:rsidR="0084184A" w:rsidRPr="001D29F7" w:rsidRDefault="0084184A" w:rsidP="0084184A">
      <w:pPr>
        <w:jc w:val="center"/>
        <w:rPr>
          <w:b/>
        </w:rPr>
      </w:pPr>
      <w:r w:rsidRPr="001D29F7">
        <w:rPr>
          <w:b/>
        </w:rPr>
        <w:t>CASO ROCHE AZAÑA Y OTROS VS. NICARAGUA</w:t>
      </w:r>
    </w:p>
    <w:p w14:paraId="31BE3707" w14:textId="77777777" w:rsidR="0084184A" w:rsidRPr="001D29F7" w:rsidRDefault="0084184A" w:rsidP="0084184A">
      <w:pPr>
        <w:jc w:val="center"/>
        <w:rPr>
          <w:b/>
          <w:lang w:val="es-DO"/>
        </w:rPr>
      </w:pPr>
    </w:p>
    <w:p w14:paraId="6951D338" w14:textId="77777777" w:rsidR="0084184A" w:rsidRDefault="0084184A" w:rsidP="0084184A">
      <w:pPr>
        <w:jc w:val="center"/>
        <w:rPr>
          <w:b/>
        </w:rPr>
      </w:pPr>
      <w:r w:rsidRPr="001D29F7">
        <w:rPr>
          <w:b/>
        </w:rPr>
        <w:t>SENTENCIA DE 3 DE JUNIO DE 2020</w:t>
      </w:r>
    </w:p>
    <w:p w14:paraId="0320F6B8" w14:textId="77777777" w:rsidR="0084184A" w:rsidRDefault="0084184A" w:rsidP="0084184A">
      <w:pPr>
        <w:jc w:val="center"/>
        <w:rPr>
          <w:b/>
          <w:color w:val="000000" w:themeColor="text1"/>
        </w:rPr>
      </w:pPr>
      <w:r>
        <w:rPr>
          <w:b/>
          <w:color w:val="000000" w:themeColor="text1"/>
        </w:rPr>
        <w:t>(</w:t>
      </w:r>
      <w:r w:rsidRPr="00247EE8">
        <w:rPr>
          <w:b/>
          <w:i/>
          <w:iCs/>
          <w:color w:val="000000" w:themeColor="text1"/>
        </w:rPr>
        <w:t>Fondo y Reparaciones</w:t>
      </w:r>
      <w:r>
        <w:rPr>
          <w:b/>
          <w:color w:val="000000" w:themeColor="text1"/>
        </w:rPr>
        <w:t>)</w:t>
      </w:r>
    </w:p>
    <w:p w14:paraId="22A5AF7C" w14:textId="77777777" w:rsidR="0084184A" w:rsidRPr="001D29F7" w:rsidRDefault="0084184A" w:rsidP="0084184A">
      <w:pPr>
        <w:jc w:val="center"/>
        <w:rPr>
          <w:b/>
        </w:rPr>
      </w:pPr>
    </w:p>
    <w:p w14:paraId="4949FC32" w14:textId="77777777" w:rsidR="0084184A" w:rsidRPr="001D29F7" w:rsidRDefault="0084184A" w:rsidP="004F0770">
      <w:pPr>
        <w:pStyle w:val="Prrafodelista"/>
        <w:widowControl/>
        <w:numPr>
          <w:ilvl w:val="0"/>
          <w:numId w:val="11"/>
        </w:numPr>
        <w:tabs>
          <w:tab w:val="left" w:pos="709"/>
        </w:tabs>
        <w:adjustRightInd/>
        <w:spacing w:before="240" w:after="240"/>
        <w:ind w:left="1417" w:hanging="357"/>
        <w:textAlignment w:val="auto"/>
        <w:rPr>
          <w:b/>
          <w:lang w:val="es-DO"/>
        </w:rPr>
      </w:pPr>
      <w:r w:rsidRPr="001D29F7">
        <w:rPr>
          <w:b/>
          <w:lang w:val="es-DO"/>
        </w:rPr>
        <w:t>Introducción</w:t>
      </w:r>
    </w:p>
    <w:p w14:paraId="365CD3F8" w14:textId="77777777" w:rsidR="0084184A" w:rsidRPr="001D29F7" w:rsidRDefault="0084184A" w:rsidP="004F0770">
      <w:pPr>
        <w:pStyle w:val="Prrafodelista"/>
        <w:widowControl/>
        <w:numPr>
          <w:ilvl w:val="0"/>
          <w:numId w:val="10"/>
        </w:numPr>
        <w:adjustRightInd/>
        <w:ind w:left="0" w:firstLine="0"/>
        <w:contextualSpacing/>
        <w:textAlignment w:val="auto"/>
        <w:rPr>
          <w:lang w:val="es-DO"/>
        </w:rPr>
      </w:pPr>
      <w:r w:rsidRPr="001D29F7">
        <w:rPr>
          <w:lang w:val="es-DO"/>
        </w:rPr>
        <w:t xml:space="preserve">La sentencia del caso </w:t>
      </w:r>
      <w:r w:rsidRPr="001D29F7">
        <w:rPr>
          <w:i/>
          <w:lang w:val="es-DO"/>
        </w:rPr>
        <w:t xml:space="preserve">Roche Azaña y otros Vs Nicaragua </w:t>
      </w:r>
      <w:r w:rsidRPr="001D29F7">
        <w:rPr>
          <w:lang w:val="es-DO"/>
        </w:rPr>
        <w:t>consolida y desarrolla los estándares relativos a los deberes de los Estados de garantizar los derechos de las personas migrantes a un acceso equitativo y efectivo a la justicia. La sentencia aborda el derecho a las garantías judiciales y a la protección</w:t>
      </w:r>
      <w:r>
        <w:rPr>
          <w:lang w:val="es-DO"/>
        </w:rPr>
        <w:t xml:space="preserve"> judicial</w:t>
      </w:r>
      <w:r w:rsidRPr="001D29F7">
        <w:rPr>
          <w:lang w:val="es-DO"/>
        </w:rPr>
        <w:t xml:space="preserve"> considerando la especial situación de vulnerabilidad en la que se encontraba el señor Patricio Fernando Roche Azaña. Se establece por primera vez la obligación general de los Estados</w:t>
      </w:r>
      <w:r>
        <w:rPr>
          <w:lang w:val="es-DO"/>
        </w:rPr>
        <w:t xml:space="preserve"> </w:t>
      </w:r>
      <w:r w:rsidRPr="001D29F7">
        <w:rPr>
          <w:lang w:val="es-DO"/>
        </w:rPr>
        <w:t>“</w:t>
      </w:r>
      <w:r w:rsidRPr="001D29F7">
        <w:rPr>
          <w:rFonts w:cs="Calibri"/>
          <w:lang w:val="es-AR"/>
        </w:rPr>
        <w:t>de asegurar que todas las personas que hayan sufrido abusos o violaciones de los derechos humanos como resultado de las medidas de gobernanza de fronteras tengan un acceso equitativo y efectivo a la justicia, acceso a un recurso efectivo, a una reparación adecuada, efectiva y rápida del daño sufrido, así como a información pertinente sobre las violaciones de sus derechos y los mecanismos de reparación</w:t>
      </w:r>
      <w:r w:rsidRPr="001D29F7">
        <w:rPr>
          <w:rStyle w:val="Refdenotaalpie"/>
          <w:rFonts w:cs="Calibri"/>
          <w:lang w:val="es-AR"/>
        </w:rPr>
        <w:footnoteReference w:id="148"/>
      </w:r>
      <w:r w:rsidRPr="001D29F7">
        <w:rPr>
          <w:rFonts w:cs="Calibri"/>
          <w:lang w:val="es-AR"/>
        </w:rPr>
        <w:t xml:space="preserve">”. </w:t>
      </w:r>
    </w:p>
    <w:p w14:paraId="223CA7B7" w14:textId="77777777" w:rsidR="0084184A" w:rsidRPr="001D29F7" w:rsidRDefault="0084184A" w:rsidP="0084184A">
      <w:pPr>
        <w:pStyle w:val="Prrafodelista"/>
        <w:ind w:left="0"/>
        <w:rPr>
          <w:lang w:val="es-DO"/>
        </w:rPr>
      </w:pPr>
    </w:p>
    <w:p w14:paraId="0BFACA10" w14:textId="77777777" w:rsidR="0084184A" w:rsidRPr="001D29F7" w:rsidRDefault="0084184A" w:rsidP="004F0770">
      <w:pPr>
        <w:pStyle w:val="Prrafodelista"/>
        <w:widowControl/>
        <w:numPr>
          <w:ilvl w:val="0"/>
          <w:numId w:val="10"/>
        </w:numPr>
        <w:adjustRightInd/>
        <w:ind w:left="0" w:firstLine="0"/>
        <w:contextualSpacing/>
        <w:textAlignment w:val="auto"/>
        <w:rPr>
          <w:lang w:val="es-DO"/>
        </w:rPr>
      </w:pPr>
      <w:r w:rsidRPr="001D29F7">
        <w:rPr>
          <w:rFonts w:cs="Calibri"/>
          <w:lang w:val="es-AR"/>
        </w:rPr>
        <w:t>El Tribunal consideró que la condición de migrante del señor Patricio Fernando Roche Azaña tuvo un impacto fundamental en su derecho a la participación en el proceso penal seguido contra los autores de los disparos realizados el 14 de abril de 1996, que dieron como resultado, entre otros, la muerte de su hemano y las heridas que él sufrió y por las que al día de hoy todavía presenta graves secuelas</w:t>
      </w:r>
      <w:r w:rsidRPr="001D29F7">
        <w:rPr>
          <w:rStyle w:val="Refdenotaalpie"/>
          <w:rFonts w:cs="Calibri"/>
          <w:lang w:val="es-AR"/>
        </w:rPr>
        <w:footnoteReference w:id="149"/>
      </w:r>
      <w:r w:rsidRPr="001D29F7">
        <w:rPr>
          <w:rFonts w:cs="Calibri"/>
          <w:lang w:val="es-AR"/>
        </w:rPr>
        <w:t>.</w:t>
      </w:r>
      <w:r w:rsidRPr="001D29F7">
        <w:rPr>
          <w:lang w:val="es-DO"/>
        </w:rPr>
        <w:t xml:space="preserve"> </w:t>
      </w:r>
      <w:r w:rsidRPr="001D29F7">
        <w:rPr>
          <w:rFonts w:cs="Calibri"/>
          <w:lang w:val="es-AR"/>
        </w:rPr>
        <w:t>El Tribunal advirtió que “[e]</w:t>
      </w:r>
      <w:r>
        <w:rPr>
          <w:rFonts w:cs="Calibri"/>
          <w:lang w:val="es-AR"/>
        </w:rPr>
        <w:t>l</w:t>
      </w:r>
      <w:r w:rsidRPr="001D29F7">
        <w:rPr>
          <w:rFonts w:cs="Calibri"/>
          <w:lang w:val="es-AR"/>
        </w:rPr>
        <w:t xml:space="preserve"> señor Patricio Fernando Roche Azaña se encontraba, por tanto, en </w:t>
      </w:r>
      <w:r w:rsidRPr="0031392D">
        <w:rPr>
          <w:lang w:val="es-DO"/>
        </w:rPr>
        <w:t>una</w:t>
      </w:r>
      <w:r w:rsidRPr="001D29F7">
        <w:rPr>
          <w:rFonts w:cs="Calibri"/>
          <w:lang w:val="es-AR"/>
        </w:rPr>
        <w:t xml:space="preserve"> situación de desigualdad real debido a su estatus migratorio que obligaba al Estado a adoptar determinadas </w:t>
      </w:r>
      <w:r w:rsidRPr="0031392D">
        <w:rPr>
          <w:rFonts w:cs="Calibri"/>
          <w:lang w:val="es-AR"/>
        </w:rPr>
        <w:t>medidas especiales que contribuyeran a reducir o eliminar los obstáculos y deficiencias que impidieron la defensa eficaz de sus intereses por el mero hecho de ser migrante</w:t>
      </w:r>
      <w:r w:rsidRPr="001D29F7">
        <w:rPr>
          <w:rFonts w:cs="Calibri"/>
          <w:lang w:val="es-AR"/>
        </w:rPr>
        <w:t>”</w:t>
      </w:r>
      <w:r w:rsidRPr="001D29F7">
        <w:rPr>
          <w:rStyle w:val="Refdenotaalpie"/>
          <w:rFonts w:cs="Calibri"/>
          <w:lang w:val="es-AR"/>
        </w:rPr>
        <w:footnoteReference w:id="150"/>
      </w:r>
      <w:r w:rsidRPr="001D29F7">
        <w:rPr>
          <w:rFonts w:cs="Calibri"/>
          <w:lang w:val="es-AR"/>
        </w:rPr>
        <w:t>. Estas reflexiones y afirmaciones me confirmaron que tenía que votar favorablemente por el proyecto bajo deliberación.</w:t>
      </w:r>
    </w:p>
    <w:p w14:paraId="2F266C3B" w14:textId="77777777" w:rsidR="0084184A" w:rsidRPr="001D29F7" w:rsidRDefault="0084184A" w:rsidP="0084184A">
      <w:pPr>
        <w:pStyle w:val="Prrafodelista"/>
        <w:ind w:left="0"/>
        <w:rPr>
          <w:lang w:val="es-DO"/>
        </w:rPr>
      </w:pPr>
    </w:p>
    <w:p w14:paraId="7012D18C" w14:textId="77777777" w:rsidR="0084184A" w:rsidRPr="001D29F7" w:rsidRDefault="0084184A" w:rsidP="004F0770">
      <w:pPr>
        <w:pStyle w:val="Prrafodelista"/>
        <w:widowControl/>
        <w:numPr>
          <w:ilvl w:val="0"/>
          <w:numId w:val="10"/>
        </w:numPr>
        <w:adjustRightInd/>
        <w:ind w:left="0" w:firstLine="0"/>
        <w:contextualSpacing/>
        <w:textAlignment w:val="auto"/>
        <w:rPr>
          <w:lang w:val="es-DO"/>
        </w:rPr>
      </w:pPr>
      <w:r w:rsidRPr="001D29F7">
        <w:rPr>
          <w:lang w:val="es-DO"/>
        </w:rPr>
        <w:t xml:space="preserve">El concepto “migrante” es un término sobre cuya definición y ámbito de aplicación no se ha alcanzado, al día de hoy, el necesario consenso, ni regional ni universal. Es por esta razón que desarrollo el presente voto para contribuir a una mayor precisión del concepto desde un enfoque y una hermenéutica garantista, expansiva e inclusiva, a la luz del Derecho Internacional de los Derechos Humanos y, en, particular, del principio </w:t>
      </w:r>
      <w:r w:rsidRPr="001D29F7">
        <w:rPr>
          <w:i/>
          <w:iCs/>
          <w:lang w:val="es-DO"/>
        </w:rPr>
        <w:t xml:space="preserve">pro personae, </w:t>
      </w:r>
      <w:r w:rsidRPr="001D29F7">
        <w:rPr>
          <w:lang w:val="es-DO"/>
        </w:rPr>
        <w:t xml:space="preserve">tal y como así lo </w:t>
      </w:r>
      <w:r>
        <w:rPr>
          <w:lang w:val="es-DO"/>
        </w:rPr>
        <w:t>prevé</w:t>
      </w:r>
      <w:r w:rsidRPr="001D29F7">
        <w:rPr>
          <w:lang w:val="es-DO"/>
        </w:rPr>
        <w:t xml:space="preserve"> el artículo 29 de la Convención Americana sobre Derechos Humanos.</w:t>
      </w:r>
    </w:p>
    <w:p w14:paraId="1CFDD7F4" w14:textId="77777777" w:rsidR="0084184A" w:rsidRPr="001D29F7" w:rsidRDefault="0084184A" w:rsidP="0084184A">
      <w:pPr>
        <w:rPr>
          <w:lang w:val="es-DO"/>
        </w:rPr>
      </w:pPr>
      <w:r w:rsidRPr="001D29F7">
        <w:rPr>
          <w:lang w:val="es-DO"/>
        </w:rPr>
        <w:br w:type="page"/>
      </w:r>
    </w:p>
    <w:p w14:paraId="51527B4A" w14:textId="77777777" w:rsidR="0084184A" w:rsidRPr="001D29F7" w:rsidRDefault="0084184A" w:rsidP="005579C3">
      <w:pPr>
        <w:pStyle w:val="Prrafodelista"/>
        <w:widowControl/>
        <w:numPr>
          <w:ilvl w:val="0"/>
          <w:numId w:val="11"/>
        </w:numPr>
        <w:tabs>
          <w:tab w:val="left" w:pos="709"/>
        </w:tabs>
        <w:adjustRightInd/>
        <w:spacing w:before="240" w:after="240"/>
        <w:ind w:left="1417" w:hanging="357"/>
        <w:textAlignment w:val="auto"/>
        <w:rPr>
          <w:b/>
          <w:lang w:val="es-DO"/>
        </w:rPr>
      </w:pPr>
      <w:r w:rsidRPr="001D29F7">
        <w:rPr>
          <w:b/>
          <w:lang w:val="es-DO"/>
        </w:rPr>
        <w:t>Configurando la categoría “migrante”: una propuesta inclusiva</w:t>
      </w:r>
    </w:p>
    <w:p w14:paraId="6450A2F1" w14:textId="77777777" w:rsidR="0084184A" w:rsidRPr="001D29F7" w:rsidRDefault="0084184A" w:rsidP="005579C3">
      <w:pPr>
        <w:pStyle w:val="Prrafodelista"/>
        <w:widowControl/>
        <w:numPr>
          <w:ilvl w:val="0"/>
          <w:numId w:val="10"/>
        </w:numPr>
        <w:adjustRightInd/>
        <w:ind w:left="0" w:firstLine="0"/>
        <w:contextualSpacing/>
        <w:textAlignment w:val="auto"/>
        <w:rPr>
          <w:rFonts w:eastAsiaTheme="minorHAnsi" w:cstheme="minorBidi"/>
          <w:lang w:val="es-ES" w:eastAsia="en-US"/>
        </w:rPr>
      </w:pPr>
      <w:r w:rsidRPr="001D29F7">
        <w:rPr>
          <w:rFonts w:cs="Arial"/>
          <w:lang w:val="es-ES"/>
        </w:rPr>
        <w:t xml:space="preserve">Actualmente, en el ámbito del derecho internacional público y del derecho internacional de los derechos humanos, no se encuentra una definición uniforme y consensuada para el término “migrante”. Al contrario de </w:t>
      </w:r>
      <w:r w:rsidRPr="001D29F7">
        <w:rPr>
          <w:lang w:val="es-ES"/>
        </w:rPr>
        <w:t>otros</w:t>
      </w:r>
      <w:r w:rsidRPr="001D29F7">
        <w:rPr>
          <w:rFonts w:cs="Arial"/>
          <w:lang w:val="es-ES"/>
        </w:rPr>
        <w:t xml:space="preserve"> conceptos relacionados con la </w:t>
      </w:r>
      <w:r>
        <w:rPr>
          <w:rFonts w:cs="Arial"/>
          <w:lang w:val="es-ES"/>
        </w:rPr>
        <w:t>movilidad</w:t>
      </w:r>
      <w:r w:rsidRPr="001D29F7">
        <w:rPr>
          <w:rFonts w:cs="Arial"/>
          <w:lang w:val="es-ES"/>
        </w:rPr>
        <w:t xml:space="preserve"> -como puede ser el concepto de “refugiado”, el cual viene claramente definido en la </w:t>
      </w:r>
      <w:r w:rsidRPr="001D29F7">
        <w:rPr>
          <w:lang w:val="es-DO"/>
        </w:rPr>
        <w:t>Convención</w:t>
      </w:r>
      <w:r w:rsidRPr="001D29F7">
        <w:rPr>
          <w:lang w:val="es-ES"/>
        </w:rPr>
        <w:t xml:space="preserve"> sobre el Estatuto de los Refugiados del año 1951 y su Protocolo de 1967</w:t>
      </w:r>
      <w:r w:rsidRPr="001D29F7">
        <w:rPr>
          <w:rStyle w:val="Refdenotaalpie"/>
          <w:lang w:val="es-ES"/>
        </w:rPr>
        <w:footnoteReference w:id="151"/>
      </w:r>
      <w:r w:rsidRPr="001D29F7">
        <w:rPr>
          <w:lang w:val="es-ES"/>
        </w:rPr>
        <w:t xml:space="preserve"> o los conceptos de “trabajador migratorio” o “trabajador fronterizo” que vienen especificados en la Convención internacional sobre la protección de los derechos de todos los trabajadores migratorios y de sus familiares</w:t>
      </w:r>
      <w:r w:rsidRPr="001D29F7">
        <w:rPr>
          <w:rStyle w:val="Refdenotaalpie"/>
          <w:lang w:val="es-ES"/>
        </w:rPr>
        <w:footnoteReference w:id="152"/>
      </w:r>
      <w:r w:rsidRPr="001D29F7">
        <w:rPr>
          <w:lang w:val="es-ES"/>
        </w:rPr>
        <w:t>;</w:t>
      </w:r>
      <w:r>
        <w:rPr>
          <w:lang w:val="es-ES"/>
        </w:rPr>
        <w:t xml:space="preserve"> </w:t>
      </w:r>
      <w:r w:rsidRPr="001D29F7">
        <w:rPr>
          <w:lang w:val="es-ES"/>
        </w:rPr>
        <w:t xml:space="preserve">el concepto “migrante” no deriva de una fuente única y consensuada. </w:t>
      </w:r>
      <w:r>
        <w:rPr>
          <w:lang w:val="es-ES"/>
        </w:rPr>
        <w:t xml:space="preserve"> </w:t>
      </w:r>
    </w:p>
    <w:p w14:paraId="0487E852" w14:textId="77777777" w:rsidR="0084184A" w:rsidRPr="001D29F7" w:rsidRDefault="0084184A" w:rsidP="005579C3">
      <w:pPr>
        <w:pStyle w:val="Prrafodelista"/>
        <w:widowControl/>
        <w:ind w:left="0"/>
        <w:rPr>
          <w:rFonts w:eastAsiaTheme="minorHAnsi" w:cstheme="minorBidi"/>
          <w:lang w:val="es-ES" w:eastAsia="en-US"/>
        </w:rPr>
      </w:pPr>
    </w:p>
    <w:p w14:paraId="6CE8536D" w14:textId="77777777" w:rsidR="0084184A" w:rsidRPr="001D29F7" w:rsidRDefault="0084184A" w:rsidP="005579C3">
      <w:pPr>
        <w:pStyle w:val="Prrafodelista"/>
        <w:widowControl/>
        <w:numPr>
          <w:ilvl w:val="0"/>
          <w:numId w:val="10"/>
        </w:numPr>
        <w:adjustRightInd/>
        <w:ind w:left="0" w:firstLine="0"/>
        <w:contextualSpacing/>
        <w:textAlignment w:val="auto"/>
        <w:rPr>
          <w:lang w:val="es-ES"/>
        </w:rPr>
      </w:pPr>
      <w:r w:rsidRPr="001D29F7">
        <w:rPr>
          <w:lang w:val="es-ES"/>
        </w:rPr>
        <w:t>Según la Organización Internacional para las Migraciones (OIM), el concepto de migrante hace referencia a “toda persona que se traslada fuera de su lugar de residencia habitual, ya sea dentro de un país o a través de una frontera internacional, de manera temporal o permanente, y por diversas razones”</w:t>
      </w:r>
      <w:r w:rsidRPr="001D29F7">
        <w:rPr>
          <w:rStyle w:val="Refdenotaalpie"/>
          <w:lang w:val="es-ES"/>
        </w:rPr>
        <w:footnoteReference w:id="153"/>
      </w:r>
      <w:r w:rsidRPr="001D29F7">
        <w:rPr>
          <w:lang w:val="es-ES"/>
        </w:rPr>
        <w:t>. Dicha organización reconoce que el término es un “término genérico no definido en el derecho internacional”</w:t>
      </w:r>
      <w:r w:rsidRPr="001D29F7">
        <w:rPr>
          <w:rStyle w:val="Refdenotaalpie"/>
          <w:lang w:val="es-ES"/>
        </w:rPr>
        <w:footnoteReference w:id="154"/>
      </w:r>
      <w:r w:rsidRPr="001D29F7">
        <w:rPr>
          <w:lang w:val="es-ES"/>
        </w:rPr>
        <w:t>.</w:t>
      </w:r>
      <w:r>
        <w:rPr>
          <w:lang w:val="es-ES"/>
        </w:rPr>
        <w:t xml:space="preserve"> </w:t>
      </w:r>
    </w:p>
    <w:p w14:paraId="27D55AEF" w14:textId="77777777" w:rsidR="0084184A" w:rsidRPr="001D29F7" w:rsidRDefault="0084184A" w:rsidP="005579C3">
      <w:pPr>
        <w:pStyle w:val="Prrafodelista"/>
        <w:widowControl/>
        <w:ind w:left="0"/>
        <w:rPr>
          <w:lang w:val="es-ES"/>
        </w:rPr>
      </w:pPr>
    </w:p>
    <w:p w14:paraId="2339CC20" w14:textId="7F07A430" w:rsidR="0084184A" w:rsidRPr="005579C3" w:rsidRDefault="0084184A" w:rsidP="0084184A">
      <w:pPr>
        <w:pStyle w:val="Prrafodelista"/>
        <w:widowControl/>
        <w:numPr>
          <w:ilvl w:val="0"/>
          <w:numId w:val="10"/>
        </w:numPr>
        <w:adjustRightInd/>
        <w:ind w:left="0" w:firstLine="0"/>
        <w:contextualSpacing/>
        <w:textAlignment w:val="auto"/>
        <w:rPr>
          <w:lang w:val="es-ES"/>
        </w:rPr>
      </w:pPr>
      <w:r w:rsidRPr="001D29F7">
        <w:rPr>
          <w:lang w:val="es-ES"/>
        </w:rPr>
        <w:t>El Departamento de Asuntos Económicos y Sociales de Naciones Unidas también señala que, al día de hoy, “no existe una definición formal” del concepto “migrante internacional”, si bien la mayoría de expertos y expertas coinciden que dicho término comprende a toda persona que abandona su país de residencia habitual, independientemente de la razón de su migración o su estatus legal”</w:t>
      </w:r>
      <w:r w:rsidRPr="001D29F7">
        <w:rPr>
          <w:rStyle w:val="Refdenotaalpie"/>
          <w:lang w:val="es-ES"/>
        </w:rPr>
        <w:footnoteReference w:id="155"/>
      </w:r>
      <w:r w:rsidRPr="001D29F7">
        <w:rPr>
          <w:lang w:val="es-ES"/>
        </w:rPr>
        <w:t xml:space="preserve">. Las </w:t>
      </w:r>
      <w:r w:rsidRPr="001D29F7">
        <w:rPr>
          <w:i/>
          <w:iCs/>
          <w:lang w:val="es-ES"/>
        </w:rPr>
        <w:t xml:space="preserve">Recomendaciones sobre estadísticas de las migraciones internacionales </w:t>
      </w:r>
      <w:r w:rsidRPr="001D29F7">
        <w:rPr>
          <w:lang w:val="es-ES"/>
        </w:rPr>
        <w:t>de las Naciones Unidas definen al migrante internacional</w:t>
      </w:r>
      <w:r w:rsidRPr="001D29F7">
        <w:rPr>
          <w:i/>
          <w:iCs/>
          <w:lang w:val="es-ES"/>
        </w:rPr>
        <w:t xml:space="preserve"> </w:t>
      </w:r>
      <w:r w:rsidRPr="001D29F7">
        <w:rPr>
          <w:lang w:val="es-ES"/>
        </w:rPr>
        <w:t>como cualquier persona que ha cambiado su país de residencia habitual, distinguiendo entre “migrante por corto plazo” y “migrante por largo plazo” (dependiendo de si el traslado es inferior o mayor a doce meses), excluyendo a las personas que se trasladan a dicho país “con fines de ocio, vacaciones, visitas a parientes y amigos, negocios, tratamiento médico o peregrinación religiosa”</w:t>
      </w:r>
      <w:r w:rsidRPr="001D29F7">
        <w:rPr>
          <w:rStyle w:val="Refdenotaalpie"/>
          <w:lang w:val="es-ES"/>
        </w:rPr>
        <w:footnoteReference w:id="156"/>
      </w:r>
      <w:r w:rsidRPr="001D29F7">
        <w:rPr>
          <w:lang w:val="es-ES"/>
        </w:rPr>
        <w:t xml:space="preserve">. </w:t>
      </w:r>
    </w:p>
    <w:p w14:paraId="7B58A1D7" w14:textId="77777777" w:rsidR="0084184A" w:rsidRPr="001D29F7" w:rsidRDefault="0084184A" w:rsidP="004F0770">
      <w:pPr>
        <w:pStyle w:val="Prrafodelista"/>
        <w:widowControl/>
        <w:numPr>
          <w:ilvl w:val="0"/>
          <w:numId w:val="10"/>
        </w:numPr>
        <w:adjustRightInd/>
        <w:ind w:left="0" w:firstLine="0"/>
        <w:contextualSpacing/>
        <w:textAlignment w:val="auto"/>
        <w:rPr>
          <w:lang w:val="es-ES"/>
        </w:rPr>
      </w:pPr>
      <w:r w:rsidRPr="001D29F7">
        <w:rPr>
          <w:lang w:val="es-ES"/>
        </w:rPr>
        <w:t>Según la Oficina del Alto Comisionado de las Naciones Unidas para los Derechos Humanos, el término “migrante internacional” se refiere a cualquier persona que se encuentre fuera de un Estado del que sea ciudadano o nacional o, en el caso de las personas apátridas, de su Estado de nacimiento o residencia habitual. El término incluye a los migrantes que tienen la intención de trasladarse de forma permanente o temporal y tanto a los que se trasladan de manera regular o documentada como a los migrantes en situación irregular</w:t>
      </w:r>
      <w:r w:rsidRPr="001D29F7">
        <w:rPr>
          <w:rStyle w:val="Refdenotaalpie"/>
          <w:lang w:val="es-ES"/>
        </w:rPr>
        <w:footnoteReference w:id="157"/>
      </w:r>
      <w:r w:rsidRPr="001D29F7">
        <w:rPr>
          <w:lang w:val="es-ES"/>
        </w:rPr>
        <w:t>.</w:t>
      </w:r>
    </w:p>
    <w:p w14:paraId="1245BA7B" w14:textId="77777777" w:rsidR="0084184A" w:rsidRPr="001D29F7" w:rsidRDefault="0084184A" w:rsidP="0084184A">
      <w:pPr>
        <w:pStyle w:val="Prrafodelista"/>
        <w:ind w:left="0"/>
        <w:rPr>
          <w:lang w:val="es-ES"/>
        </w:rPr>
      </w:pPr>
    </w:p>
    <w:p w14:paraId="180FC073" w14:textId="77777777" w:rsidR="0084184A" w:rsidRPr="00F33BB4" w:rsidRDefault="0084184A" w:rsidP="004F0770">
      <w:pPr>
        <w:pStyle w:val="Prrafodelista"/>
        <w:widowControl/>
        <w:numPr>
          <w:ilvl w:val="0"/>
          <w:numId w:val="10"/>
        </w:numPr>
        <w:adjustRightInd/>
        <w:ind w:left="0" w:firstLine="0"/>
        <w:contextualSpacing/>
        <w:textAlignment w:val="auto"/>
        <w:rPr>
          <w:rFonts w:eastAsiaTheme="minorHAnsi" w:cstheme="minorBidi"/>
          <w:lang w:val="es-ES" w:eastAsia="en-US"/>
        </w:rPr>
      </w:pPr>
      <w:r w:rsidRPr="00F33BB4">
        <w:rPr>
          <w:lang w:val="es-ES"/>
        </w:rPr>
        <w:t>Probablemente, es en el ámbito internacional de la protección de los derechos laborales donde se ha producido un mayor desarrollo de los estándares de protección de las personas migrantes</w:t>
      </w:r>
      <w:r w:rsidRPr="001D29F7">
        <w:rPr>
          <w:rStyle w:val="Refdenotaalpie"/>
          <w:lang w:val="es-ES"/>
        </w:rPr>
        <w:footnoteReference w:id="158"/>
      </w:r>
      <w:r w:rsidRPr="00F33BB4">
        <w:rPr>
          <w:lang w:val="es-ES"/>
        </w:rPr>
        <w:t>. Así, tenemos la definición del término “migrante económico” o “trabajador migrante”, el cual, según la Organización Internacional del Trabajo (OIT) lo define como toda persona que emigra de un país a otro para ejercer un empleo por cuenta ajena, lo cual significa que dentro de esta definición no se incluye a los migrantes que ejercen actividades por cuenta propia. Contraria a esta tesis se encuentra lo indicado por la OIM, para quien el trabajador migrante o migrante de trabajo se refiere al migrante que llega al país de destino a desempeñar un trabajo por cuenta ajena; mientras que el migrante económico incluye al trabajador migrante por cuenta ajena y al trabajador migrante por cuenta propia, como pudiera ser un empresario/a, inversionista o viajero/a de negocios</w:t>
      </w:r>
      <w:r w:rsidRPr="001D29F7">
        <w:rPr>
          <w:rStyle w:val="Refdenotaalpie"/>
          <w:lang w:val="es-ES"/>
        </w:rPr>
        <w:footnoteReference w:id="159"/>
      </w:r>
      <w:r w:rsidRPr="00F33BB4">
        <w:rPr>
          <w:lang w:val="es-ES"/>
        </w:rPr>
        <w:t>.</w:t>
      </w:r>
    </w:p>
    <w:p w14:paraId="2F56C55C" w14:textId="77777777" w:rsidR="0084184A" w:rsidRPr="00F33BB4" w:rsidRDefault="0084184A" w:rsidP="0084184A">
      <w:pPr>
        <w:rPr>
          <w:rFonts w:eastAsiaTheme="minorHAnsi" w:cstheme="minorBidi"/>
          <w:lang w:eastAsia="en-US"/>
        </w:rPr>
      </w:pPr>
    </w:p>
    <w:p w14:paraId="2EDE1C23" w14:textId="77777777" w:rsidR="0084184A" w:rsidRPr="007742DC" w:rsidRDefault="0084184A" w:rsidP="004F0770">
      <w:pPr>
        <w:pStyle w:val="Prrafodelista"/>
        <w:widowControl/>
        <w:numPr>
          <w:ilvl w:val="0"/>
          <w:numId w:val="10"/>
        </w:numPr>
        <w:adjustRightInd/>
        <w:ind w:left="0" w:firstLine="0"/>
        <w:contextualSpacing/>
        <w:textAlignment w:val="auto"/>
        <w:rPr>
          <w:rFonts w:eastAsiaTheme="minorHAnsi" w:cstheme="minorBidi"/>
          <w:lang w:val="es-ES" w:eastAsia="en-US"/>
        </w:rPr>
      </w:pPr>
      <w:r w:rsidRPr="007742DC">
        <w:rPr>
          <w:lang w:val="es-ES"/>
        </w:rPr>
        <w:t xml:space="preserve">En la práctica actual, se advierte que existen dos tipos diferentes de aproximaciones al concepto </w:t>
      </w:r>
      <w:r w:rsidRPr="007742DC">
        <w:rPr>
          <w:lang w:val="es-DO"/>
        </w:rPr>
        <w:t>objeto</w:t>
      </w:r>
      <w:r w:rsidRPr="007742DC">
        <w:rPr>
          <w:lang w:val="es-ES"/>
        </w:rPr>
        <w:t xml:space="preserve"> de estudio que dependen de la razón por la cual la persona abandona</w:t>
      </w:r>
      <w:r>
        <w:rPr>
          <w:lang w:val="es-ES"/>
        </w:rPr>
        <w:t xml:space="preserve"> su país de residencia habitual</w:t>
      </w:r>
      <w:r w:rsidRPr="007742DC">
        <w:rPr>
          <w:rFonts w:cs="Calibri"/>
          <w:lang w:val="es-ES"/>
        </w:rPr>
        <w:t xml:space="preserve">. </w:t>
      </w:r>
      <w:r w:rsidRPr="007742DC">
        <w:rPr>
          <w:lang w:val="es-ES"/>
        </w:rPr>
        <w:t xml:space="preserve">Así, desde una concepción -a mi juicio- </w:t>
      </w:r>
      <w:r w:rsidRPr="007742DC">
        <w:rPr>
          <w:i/>
          <w:iCs/>
          <w:lang w:val="es-ES"/>
        </w:rPr>
        <w:t>excluyente</w:t>
      </w:r>
      <w:r w:rsidRPr="007742DC">
        <w:rPr>
          <w:lang w:val="es-ES"/>
        </w:rPr>
        <w:t>, los migrantes son aquellas personas que han abandonado su lugar de residencia habitual por razones diferentes a las recogidas en la Convención sobre el Estatuto de los Refugiados</w:t>
      </w:r>
      <w:r w:rsidRPr="007742DC">
        <w:rPr>
          <w:rStyle w:val="Refdenotaalpie"/>
          <w:lang w:val="es-ES"/>
        </w:rPr>
        <w:footnoteReference w:id="160"/>
      </w:r>
      <w:r w:rsidRPr="007742DC">
        <w:rPr>
          <w:lang w:val="es-ES"/>
        </w:rPr>
        <w:t xml:space="preserve">. </w:t>
      </w:r>
      <w:r w:rsidRPr="007742DC">
        <w:rPr>
          <w:rFonts w:cs="Calibri"/>
          <w:lang w:val="es-ES"/>
        </w:rPr>
        <w:t>No obstante lo anterior, nada obsta para que dicho término sea lo más incluyente posible, con el objetivo de no dejar a ninguna persona carente de la debida protección estatal</w:t>
      </w:r>
      <w:r>
        <w:rPr>
          <w:rFonts w:cs="Calibri"/>
          <w:lang w:val="es-ES"/>
        </w:rPr>
        <w:t xml:space="preserve"> o</w:t>
      </w:r>
      <w:r w:rsidRPr="007742DC">
        <w:rPr>
          <w:rFonts w:cs="Calibri"/>
          <w:lang w:val="es-ES"/>
        </w:rPr>
        <w:t xml:space="preserve"> internacional. </w:t>
      </w:r>
    </w:p>
    <w:p w14:paraId="19EA29A8" w14:textId="77777777" w:rsidR="0084184A" w:rsidRPr="001D29F7" w:rsidRDefault="0084184A" w:rsidP="0084184A">
      <w:pPr>
        <w:pStyle w:val="Prrafodelista"/>
        <w:ind w:hanging="708"/>
        <w:rPr>
          <w:lang w:val="es-ES"/>
        </w:rPr>
      </w:pPr>
    </w:p>
    <w:p w14:paraId="474CDBB0" w14:textId="77777777" w:rsidR="0084184A" w:rsidRDefault="0084184A" w:rsidP="004F0770">
      <w:pPr>
        <w:pStyle w:val="Prrafodelista"/>
        <w:widowControl/>
        <w:numPr>
          <w:ilvl w:val="0"/>
          <w:numId w:val="10"/>
        </w:numPr>
        <w:adjustRightInd/>
        <w:ind w:left="0" w:firstLine="0"/>
        <w:contextualSpacing/>
        <w:textAlignment w:val="auto"/>
        <w:rPr>
          <w:lang w:val="es-ES"/>
        </w:rPr>
      </w:pPr>
      <w:r w:rsidRPr="001D29F7">
        <w:rPr>
          <w:lang w:val="es-ES"/>
        </w:rPr>
        <w:t xml:space="preserve">El razonamiento de este voto quiere enfatizar en lo siguiente: considero innecesario e incluso contraproducente trazar una línea estricta entre lo que es el desplazamiento voluntario y el desplazamiento </w:t>
      </w:r>
      <w:r w:rsidRPr="001D29F7">
        <w:rPr>
          <w:lang w:val="es-DO"/>
        </w:rPr>
        <w:t>forzado</w:t>
      </w:r>
      <w:r w:rsidRPr="001D29F7">
        <w:rPr>
          <w:lang w:val="es-ES"/>
        </w:rPr>
        <w:t xml:space="preserve"> de personas</w:t>
      </w:r>
      <w:r w:rsidRPr="001D29F7">
        <w:rPr>
          <w:lang w:val="es-DO"/>
        </w:rPr>
        <w:t xml:space="preserve">, puesto que podemos consentir que </w:t>
      </w:r>
      <w:r w:rsidRPr="001D29F7">
        <w:rPr>
          <w:lang w:val="es-ES"/>
        </w:rPr>
        <w:t xml:space="preserve">los motivos que dan lugar a la migración suelen ser multicausales y </w:t>
      </w:r>
      <w:r w:rsidRPr="001D29F7">
        <w:rPr>
          <w:lang w:val="es-DO"/>
        </w:rPr>
        <w:t>complejos</w:t>
      </w:r>
      <w:r w:rsidRPr="001D29F7">
        <w:rPr>
          <w:lang w:val="es-ES"/>
        </w:rPr>
        <w:t xml:space="preserve">, muy problemáticos para encasillarlos en una sola categoría. En consecuencia, podemos intentar avanzar en la configuración </w:t>
      </w:r>
      <w:r>
        <w:rPr>
          <w:lang w:val="es-ES"/>
        </w:rPr>
        <w:t xml:space="preserve">del </w:t>
      </w:r>
      <w:r w:rsidRPr="001D29F7">
        <w:rPr>
          <w:lang w:val="es-ES"/>
        </w:rPr>
        <w:t xml:space="preserve">concepto de migrante que incluya a toda persona que deja un Estado (voluntariamente o no), para trasladarse a otro, haya o no voluntad de establecerse en él. En concreto, una interpretación </w:t>
      </w:r>
      <w:r w:rsidRPr="001D29F7">
        <w:rPr>
          <w:i/>
          <w:iCs/>
          <w:lang w:val="es-ES"/>
        </w:rPr>
        <w:t>inclusiva</w:t>
      </w:r>
      <w:r w:rsidRPr="001D29F7">
        <w:rPr>
          <w:lang w:val="es-ES"/>
        </w:rPr>
        <w:t xml:space="preserve"> del término haría referencia a toda persona que haya abandonado su lugar de residencia habitual, independientemente de su estado legal o de las razones que tuvo para ello, y se instalan en un país, bien de manera temporal, bien de manera permanente. Ahora bien, lo anterior no es un óbice para que, dentro de la categoría de migrante, </w:t>
      </w:r>
      <w:r>
        <w:rPr>
          <w:lang w:val="es-ES"/>
        </w:rPr>
        <w:t xml:space="preserve">el motivo por el que se abandona un país juegue un rol significativo a la hora de determinar el grado de protección </w:t>
      </w:r>
      <w:r w:rsidRPr="009C2E77">
        <w:rPr>
          <w:lang w:val="es-ES"/>
        </w:rPr>
        <w:t xml:space="preserve">(y, por tanto, de </w:t>
      </w:r>
      <w:r>
        <w:rPr>
          <w:lang w:val="es-ES"/>
        </w:rPr>
        <w:t xml:space="preserve">las </w:t>
      </w:r>
      <w:r w:rsidRPr="009C2E77">
        <w:rPr>
          <w:lang w:val="es-ES"/>
        </w:rPr>
        <w:t>obligaciones de los Estados)</w:t>
      </w:r>
      <w:r>
        <w:rPr>
          <w:lang w:val="es-ES"/>
        </w:rPr>
        <w:t xml:space="preserve"> q</w:t>
      </w:r>
      <w:r w:rsidRPr="009C2E77">
        <w:rPr>
          <w:lang w:val="es-ES"/>
        </w:rPr>
        <w:t>ue se le debe otorgar a la persona migrante</w:t>
      </w:r>
      <w:r>
        <w:rPr>
          <w:lang w:val="es-ES"/>
        </w:rPr>
        <w:t xml:space="preserve">. Asimismo, esta conceptualización en nada impide que </w:t>
      </w:r>
      <w:r w:rsidRPr="001D29F7">
        <w:rPr>
          <w:lang w:val="es-ES"/>
        </w:rPr>
        <w:t>se pueda (y se deba) realizar un análisis interseccional de las diferentes situaciones de vulnerabilidad que se pueden producir</w:t>
      </w:r>
      <w:r w:rsidRPr="009C2E77">
        <w:rPr>
          <w:lang w:val="es-ES"/>
        </w:rPr>
        <w:t>.</w:t>
      </w:r>
      <w:r>
        <w:rPr>
          <w:lang w:val="es-ES"/>
        </w:rPr>
        <w:t xml:space="preserve"> </w:t>
      </w:r>
    </w:p>
    <w:p w14:paraId="6A94B79E" w14:textId="77777777" w:rsidR="0084184A" w:rsidRDefault="0084184A" w:rsidP="0084184A">
      <w:pPr>
        <w:pStyle w:val="Prrafodelista"/>
        <w:ind w:left="0"/>
        <w:rPr>
          <w:lang w:val="es-ES"/>
        </w:rPr>
      </w:pPr>
    </w:p>
    <w:p w14:paraId="66550994" w14:textId="77777777" w:rsidR="0084184A" w:rsidRPr="009C2E77" w:rsidRDefault="0084184A" w:rsidP="004F0770">
      <w:pPr>
        <w:pStyle w:val="Prrafodelista"/>
        <w:widowControl/>
        <w:numPr>
          <w:ilvl w:val="0"/>
          <w:numId w:val="10"/>
        </w:numPr>
        <w:adjustRightInd/>
        <w:ind w:left="0" w:firstLine="0"/>
        <w:contextualSpacing/>
        <w:textAlignment w:val="auto"/>
        <w:rPr>
          <w:lang w:val="es-ES"/>
        </w:rPr>
      </w:pPr>
      <w:r>
        <w:rPr>
          <w:lang w:val="es-ES"/>
        </w:rPr>
        <w:t>T</w:t>
      </w:r>
      <w:r w:rsidRPr="009C2E77">
        <w:rPr>
          <w:lang w:val="es-ES"/>
        </w:rPr>
        <w:t xml:space="preserve">eniendo en cuenta la importancia del uso del lenguaje como creador de un imaginario colectivo, de otorgar forma y sentido a realidades específicas, también es relevante desechar la utilización de conceptos que de </w:t>
      </w:r>
      <w:r w:rsidRPr="009C2E77">
        <w:rPr>
          <w:lang w:val="es-DO"/>
        </w:rPr>
        <w:t>cierta</w:t>
      </w:r>
      <w:r>
        <w:rPr>
          <w:lang w:val="es-ES"/>
        </w:rPr>
        <w:t xml:space="preserve"> manera deshumanizan</w:t>
      </w:r>
      <w:r w:rsidRPr="009C2E77">
        <w:rPr>
          <w:lang w:val="es-ES"/>
        </w:rPr>
        <w:t xml:space="preserve">, etiquetan y estigmatizan a la persona, tales como el concepto de “inmigrantes ilegales”. Lo anterior no es un mero cumplimiento con los cánones de la corrección política, sino que también contribuye a dar forma a la percepción incluyente que debe tener la sociedad respecto de la población migrante. </w:t>
      </w:r>
    </w:p>
    <w:p w14:paraId="675D6328" w14:textId="77777777" w:rsidR="0084184A" w:rsidRPr="001D29F7" w:rsidRDefault="0084184A" w:rsidP="0084184A">
      <w:pPr>
        <w:pStyle w:val="Prrafodelista"/>
        <w:ind w:left="0"/>
        <w:rPr>
          <w:lang w:val="es-ES"/>
        </w:rPr>
      </w:pPr>
    </w:p>
    <w:p w14:paraId="04B1E10F" w14:textId="77777777" w:rsidR="0084184A" w:rsidRPr="001D29F7" w:rsidRDefault="0084184A" w:rsidP="004F0770">
      <w:pPr>
        <w:pStyle w:val="Prrafodelista"/>
        <w:widowControl/>
        <w:numPr>
          <w:ilvl w:val="0"/>
          <w:numId w:val="10"/>
        </w:numPr>
        <w:adjustRightInd/>
        <w:ind w:left="0" w:firstLine="0"/>
        <w:contextualSpacing/>
        <w:textAlignment w:val="auto"/>
        <w:rPr>
          <w:lang w:val="es-ES"/>
        </w:rPr>
      </w:pPr>
      <w:r w:rsidRPr="001D29F7">
        <w:rPr>
          <w:lang w:val="es-ES"/>
        </w:rPr>
        <w:t xml:space="preserve">La consecuencia de lo expuesto no es puramente teórica, sino que desde esa determinación y </w:t>
      </w:r>
      <w:r w:rsidRPr="001D29F7">
        <w:rPr>
          <w:lang w:val="es-DO"/>
        </w:rPr>
        <w:t>amplitud</w:t>
      </w:r>
      <w:r w:rsidRPr="001D29F7">
        <w:rPr>
          <w:lang w:val="es-ES"/>
        </w:rPr>
        <w:t xml:space="preserve"> es de dónde emanan las obligaciones de los Estados en esta materia, los cuales han sido desarrollados por la Corte Interamericana de manera exhaustiva en multiplicidad de casos y opiniones consultivas, tal y como expondré a continuación.</w:t>
      </w:r>
    </w:p>
    <w:p w14:paraId="3713A2AA" w14:textId="77777777" w:rsidR="0084184A" w:rsidRPr="001D29F7" w:rsidRDefault="0084184A" w:rsidP="004F0770">
      <w:pPr>
        <w:pStyle w:val="Prrafodelista"/>
        <w:widowControl/>
        <w:numPr>
          <w:ilvl w:val="0"/>
          <w:numId w:val="11"/>
        </w:numPr>
        <w:tabs>
          <w:tab w:val="left" w:pos="709"/>
        </w:tabs>
        <w:adjustRightInd/>
        <w:spacing w:before="240" w:after="240"/>
        <w:ind w:left="1417" w:hanging="357"/>
        <w:textAlignment w:val="auto"/>
        <w:rPr>
          <w:b/>
          <w:lang w:val="es-DO"/>
        </w:rPr>
      </w:pPr>
      <w:r w:rsidRPr="001D29F7">
        <w:rPr>
          <w:b/>
          <w:lang w:val="es-DO"/>
        </w:rPr>
        <w:t>Evolución de los estándares interamericanos de protección de migrantes</w:t>
      </w:r>
    </w:p>
    <w:p w14:paraId="07541FAA" w14:textId="77777777" w:rsidR="0084184A" w:rsidRPr="001D29F7" w:rsidRDefault="0084184A" w:rsidP="004F0770">
      <w:pPr>
        <w:pStyle w:val="Prrafodelista"/>
        <w:widowControl/>
        <w:numPr>
          <w:ilvl w:val="0"/>
          <w:numId w:val="10"/>
        </w:numPr>
        <w:adjustRightInd/>
        <w:ind w:left="0" w:firstLine="0"/>
        <w:contextualSpacing/>
        <w:textAlignment w:val="auto"/>
        <w:rPr>
          <w:lang w:val="es-ES"/>
        </w:rPr>
      </w:pPr>
      <w:r w:rsidRPr="001D29F7">
        <w:rPr>
          <w:lang w:val="es-DO"/>
        </w:rPr>
        <w:t>La obligación estatal de proteger a las personas migrantes emana del principio de igualdad y no discriminación, un principio que, tal y como ha declarado la Corte, “</w:t>
      </w:r>
      <w:r w:rsidRPr="001D29F7">
        <w:rPr>
          <w:lang w:val="es-ES"/>
        </w:rPr>
        <w:t xml:space="preserve">pertenece al </w:t>
      </w:r>
      <w:r w:rsidRPr="001D29F7">
        <w:rPr>
          <w:i/>
          <w:iCs/>
          <w:lang w:val="es-ES"/>
        </w:rPr>
        <w:t>jus cogens</w:t>
      </w:r>
      <w:r w:rsidRPr="0097641D">
        <w:rPr>
          <w:bCs/>
          <w:lang w:val="es-ES"/>
        </w:rPr>
        <w:t>,</w:t>
      </w:r>
      <w:r w:rsidRPr="001D29F7">
        <w:rPr>
          <w:lang w:val="es-ES"/>
        </w:rPr>
        <w:t xml:space="preserve"> puesto que sobre él descansa todo el andamiaje jurídico del orden público nacional e internacional y es un principio fundamental que permea todo ordenamiento jurídico”</w:t>
      </w:r>
      <w:r w:rsidRPr="001D29F7">
        <w:rPr>
          <w:rStyle w:val="Refdenotaalpie"/>
        </w:rPr>
        <w:footnoteReference w:id="161"/>
      </w:r>
      <w:r w:rsidRPr="001D29F7">
        <w:rPr>
          <w:lang w:val="es-ES"/>
        </w:rPr>
        <w:t>.</w:t>
      </w:r>
    </w:p>
    <w:p w14:paraId="414F704F" w14:textId="77777777" w:rsidR="0084184A" w:rsidRPr="001D29F7" w:rsidRDefault="0084184A" w:rsidP="0084184A">
      <w:pPr>
        <w:pStyle w:val="Prrafodelista"/>
        <w:ind w:left="0"/>
        <w:rPr>
          <w:lang w:val="es-ES"/>
        </w:rPr>
      </w:pPr>
    </w:p>
    <w:p w14:paraId="1F945F57" w14:textId="77777777" w:rsidR="0084184A" w:rsidRPr="001D29F7" w:rsidRDefault="0084184A" w:rsidP="004F0770">
      <w:pPr>
        <w:pStyle w:val="Prrafodelista"/>
        <w:widowControl/>
        <w:numPr>
          <w:ilvl w:val="0"/>
          <w:numId w:val="10"/>
        </w:numPr>
        <w:adjustRightInd/>
        <w:ind w:left="0" w:firstLine="0"/>
        <w:contextualSpacing/>
        <w:textAlignment w:val="auto"/>
        <w:rPr>
          <w:lang w:val="es-ES"/>
        </w:rPr>
      </w:pPr>
      <w:r w:rsidRPr="001D29F7">
        <w:rPr>
          <w:lang w:val="es-DO"/>
        </w:rPr>
        <w:t>En lo que respecta a los estándares relativos a la protección específica que se debe otorgar a las personas migrantes, la jurisprudencia de la Corte ha contribuido de manera determinante al desarrollo de los mismos, habiendo evolucionado hacia una protección cada vez más integral y de carácter interseccional.</w:t>
      </w:r>
    </w:p>
    <w:p w14:paraId="1A1A61E0" w14:textId="77777777" w:rsidR="0084184A" w:rsidRPr="001D29F7" w:rsidRDefault="0084184A" w:rsidP="0084184A">
      <w:pPr>
        <w:pStyle w:val="Prrafodelista"/>
        <w:ind w:left="0"/>
        <w:rPr>
          <w:lang w:val="es-ES"/>
        </w:rPr>
      </w:pPr>
    </w:p>
    <w:p w14:paraId="01299CFB" w14:textId="483FA4BB" w:rsidR="0084184A" w:rsidRPr="0084184A" w:rsidRDefault="0084184A" w:rsidP="004F0770">
      <w:pPr>
        <w:pStyle w:val="Prrafodelista"/>
        <w:widowControl/>
        <w:numPr>
          <w:ilvl w:val="0"/>
          <w:numId w:val="10"/>
        </w:numPr>
        <w:adjustRightInd/>
        <w:ind w:left="0" w:firstLine="0"/>
        <w:contextualSpacing/>
        <w:textAlignment w:val="auto"/>
        <w:rPr>
          <w:lang w:val="es-ES"/>
        </w:rPr>
      </w:pPr>
      <w:r w:rsidRPr="001D29F7">
        <w:rPr>
          <w:lang w:val="es-DO"/>
        </w:rPr>
        <w:t>Ejemplo de lo anterior son las opiniones consultivas OC-16/99</w:t>
      </w:r>
      <w:r w:rsidRPr="001D29F7">
        <w:rPr>
          <w:rStyle w:val="Refdenotaalpie"/>
          <w:lang w:val="es-DO"/>
        </w:rPr>
        <w:footnoteReference w:id="162"/>
      </w:r>
      <w:r w:rsidRPr="001D29F7">
        <w:rPr>
          <w:lang w:val="es-DO"/>
        </w:rPr>
        <w:t>, OC-18/03</w:t>
      </w:r>
      <w:r w:rsidRPr="001D29F7">
        <w:rPr>
          <w:rStyle w:val="Refdenotaalpie"/>
          <w:lang w:val="es-DO"/>
        </w:rPr>
        <w:footnoteReference w:id="163"/>
      </w:r>
      <w:r w:rsidRPr="001D29F7">
        <w:rPr>
          <w:lang w:val="es-DO"/>
        </w:rPr>
        <w:t xml:space="preserve"> y OC-21/14</w:t>
      </w:r>
      <w:r w:rsidRPr="001D29F7">
        <w:rPr>
          <w:rStyle w:val="Refdenotaalpie"/>
          <w:lang w:val="es-DO"/>
        </w:rPr>
        <w:footnoteReference w:id="164"/>
      </w:r>
      <w:r w:rsidRPr="001D29F7">
        <w:rPr>
          <w:lang w:val="es-DO"/>
        </w:rPr>
        <w:t xml:space="preserve">. En la OC-16/99, relativa al derecho a la información sobre la asistencia consultar, la Corte estableció, </w:t>
      </w:r>
      <w:r w:rsidRPr="001D29F7">
        <w:rPr>
          <w:i/>
          <w:iCs/>
          <w:lang w:val="es-DO"/>
        </w:rPr>
        <w:t>inter alia</w:t>
      </w:r>
      <w:r w:rsidRPr="001D29F7">
        <w:rPr>
          <w:lang w:val="es-DO"/>
        </w:rPr>
        <w:t>, una serie de estándares respecto al derecho del detenido extranjero a la información sobre la asistencia consular, la cual además debe ser brindada “en todo caso antes de que rinda su primera declaración ante la autoridad”, y que su inobservancia en los casos en los que se imponga y ejecute la pena de muerte constituiría una privación arbitraria de la vida</w:t>
      </w:r>
      <w:r w:rsidRPr="001D29F7">
        <w:rPr>
          <w:rStyle w:val="Refdenotaalpie"/>
          <w:lang w:val="es-DO"/>
        </w:rPr>
        <w:footnoteReference w:id="165"/>
      </w:r>
      <w:r w:rsidRPr="001D29F7">
        <w:rPr>
          <w:lang w:val="es-DO"/>
        </w:rPr>
        <w:t xml:space="preserve">. Asimismo, determinó ciertos deberes de los Estados con respecto a sus nacionales cuando están en el extranjero al indicar lo siguiente: </w:t>
      </w:r>
    </w:p>
    <w:p w14:paraId="4C9F80CF" w14:textId="77777777" w:rsidR="0084184A" w:rsidRPr="001D29F7" w:rsidRDefault="0084184A" w:rsidP="0084184A">
      <w:pPr>
        <w:pStyle w:val="Prrafodelista"/>
        <w:widowControl/>
        <w:adjustRightInd/>
        <w:ind w:left="0"/>
        <w:contextualSpacing/>
        <w:textAlignment w:val="auto"/>
        <w:rPr>
          <w:lang w:val="es-ES"/>
        </w:rPr>
      </w:pPr>
    </w:p>
    <w:p w14:paraId="3477EB0D" w14:textId="75664F44" w:rsidR="0084184A" w:rsidRDefault="0084184A" w:rsidP="0084184A">
      <w:pPr>
        <w:pStyle w:val="NormalWeb"/>
        <w:ind w:left="567" w:right="560"/>
        <w:rPr>
          <w:rFonts w:ascii="Verdana" w:hAnsi="Verdana"/>
          <w:sz w:val="18"/>
          <w:szCs w:val="18"/>
        </w:rPr>
      </w:pPr>
      <w:r w:rsidRPr="001D29F7">
        <w:rPr>
          <w:rFonts w:ascii="Verdana" w:hAnsi="Verdana"/>
          <w:sz w:val="18"/>
          <w:szCs w:val="18"/>
        </w:rPr>
        <w:t>“De la lectura conjunta de los textos citados, se desprende que la Convención de Viena sobre Relaciones Consulares reconoce, como una función primordial del funcionario consular, el otorgamiento de asistencia</w:t>
      </w:r>
      <w:r w:rsidRPr="001D29F7">
        <w:rPr>
          <w:rFonts w:ascii="Verdana" w:hAnsi="Verdana"/>
          <w:i/>
          <w:iCs/>
          <w:sz w:val="18"/>
          <w:szCs w:val="18"/>
        </w:rPr>
        <w:t xml:space="preserve"> </w:t>
      </w:r>
      <w:r w:rsidRPr="001D29F7">
        <w:rPr>
          <w:rFonts w:ascii="Verdana" w:hAnsi="Verdana"/>
          <w:sz w:val="18"/>
          <w:szCs w:val="18"/>
        </w:rPr>
        <w:t xml:space="preserve">al nacional del Estado que envía en la defensa de sus derechos ante las autoridades del Estado receptor. En este marco, la Corte estima que la norma que consagra la comunicación consular tiene un doble propósito: reconocer el </w:t>
      </w:r>
      <w:r w:rsidRPr="001D29F7">
        <w:rPr>
          <w:rFonts w:ascii="Verdana" w:hAnsi="Verdana"/>
          <w:b/>
          <w:bCs/>
          <w:sz w:val="18"/>
          <w:szCs w:val="18"/>
        </w:rPr>
        <w:t>derecho de los Estados de asistir a sus nacionales</w:t>
      </w:r>
      <w:r w:rsidRPr="001D29F7">
        <w:rPr>
          <w:rFonts w:ascii="Verdana" w:hAnsi="Verdana"/>
          <w:sz w:val="18"/>
          <w:szCs w:val="18"/>
        </w:rPr>
        <w:t xml:space="preserve"> a través de las actuaciones del funcionario consular y, en forma paralela, reconocer </w:t>
      </w:r>
      <w:r w:rsidRPr="001D29F7">
        <w:rPr>
          <w:rFonts w:ascii="Verdana" w:hAnsi="Verdana"/>
          <w:b/>
          <w:bCs/>
          <w:sz w:val="18"/>
          <w:szCs w:val="18"/>
        </w:rPr>
        <w:t>el derecho correlativo de que goza el nacional del Estado que envía para acceder al funcionario consular</w:t>
      </w:r>
      <w:r w:rsidRPr="001D29F7">
        <w:rPr>
          <w:rFonts w:ascii="Verdana" w:hAnsi="Verdana"/>
          <w:sz w:val="18"/>
          <w:szCs w:val="18"/>
        </w:rPr>
        <w:t xml:space="preserve"> con el fin de procurar dicha asistencia”</w:t>
      </w:r>
      <w:r w:rsidRPr="001D29F7">
        <w:rPr>
          <w:rStyle w:val="Refdenotaalpie"/>
          <w:rFonts w:ascii="Verdana" w:hAnsi="Verdana"/>
          <w:sz w:val="18"/>
          <w:szCs w:val="18"/>
        </w:rPr>
        <w:footnoteReference w:id="166"/>
      </w:r>
      <w:r w:rsidRPr="001D29F7">
        <w:rPr>
          <w:rFonts w:ascii="Verdana" w:hAnsi="Verdana"/>
          <w:sz w:val="18"/>
          <w:szCs w:val="18"/>
        </w:rPr>
        <w:t xml:space="preserve">. </w:t>
      </w:r>
    </w:p>
    <w:p w14:paraId="70FBD4C4" w14:textId="77777777" w:rsidR="0084184A" w:rsidRPr="001D29F7" w:rsidRDefault="0084184A" w:rsidP="0084184A">
      <w:pPr>
        <w:pStyle w:val="NormalWeb"/>
        <w:ind w:left="567" w:right="560"/>
        <w:rPr>
          <w:rFonts w:ascii="Verdana" w:hAnsi="Verdana"/>
          <w:sz w:val="18"/>
          <w:szCs w:val="18"/>
        </w:rPr>
      </w:pPr>
    </w:p>
    <w:p w14:paraId="77812F75" w14:textId="77777777" w:rsidR="0084184A" w:rsidRPr="001D29F7" w:rsidRDefault="0084184A" w:rsidP="004F0770">
      <w:pPr>
        <w:pStyle w:val="Prrafodelista"/>
        <w:widowControl/>
        <w:numPr>
          <w:ilvl w:val="0"/>
          <w:numId w:val="10"/>
        </w:numPr>
        <w:adjustRightInd/>
        <w:ind w:left="0" w:firstLine="0"/>
        <w:contextualSpacing/>
        <w:textAlignment w:val="auto"/>
        <w:rPr>
          <w:lang w:val="es-ES"/>
        </w:rPr>
      </w:pPr>
      <w:r w:rsidRPr="001D29F7">
        <w:rPr>
          <w:lang w:val="es-DO"/>
        </w:rPr>
        <w:t>Como se puede ver, en esta oportunidad la Corte utilizó los términos “extranjero” y “nacional del Estado que envía” para hacer referencia a la persona migrante.</w:t>
      </w:r>
    </w:p>
    <w:p w14:paraId="320689C3" w14:textId="77777777" w:rsidR="0084184A" w:rsidRPr="001D29F7" w:rsidRDefault="0084184A" w:rsidP="0084184A">
      <w:pPr>
        <w:pStyle w:val="Prrafodelista"/>
        <w:ind w:left="0"/>
        <w:rPr>
          <w:lang w:val="es-ES"/>
        </w:rPr>
      </w:pPr>
    </w:p>
    <w:p w14:paraId="3FDFCF70" w14:textId="77777777" w:rsidR="0084184A" w:rsidRPr="001D29F7" w:rsidRDefault="0084184A" w:rsidP="004F0770">
      <w:pPr>
        <w:pStyle w:val="Prrafodelista"/>
        <w:widowControl/>
        <w:numPr>
          <w:ilvl w:val="0"/>
          <w:numId w:val="10"/>
        </w:numPr>
        <w:adjustRightInd/>
        <w:ind w:left="0" w:firstLine="0"/>
        <w:contextualSpacing/>
        <w:textAlignment w:val="auto"/>
        <w:rPr>
          <w:b/>
          <w:bCs/>
          <w:lang w:val="es-ES"/>
        </w:rPr>
      </w:pPr>
      <w:r w:rsidRPr="001D29F7">
        <w:rPr>
          <w:lang w:val="es-DO"/>
        </w:rPr>
        <w:t>En la OC-18/03, relativa a la “Condición jurídica y derechos de los migrantes indocumentados”, el Tribunal dejó sentado estándares importantes con respecto al estricto respecto que deben otorgar los Estados al principio de igualdad ante la ley e igual protección de la ley a favor de todas las personas, toda vez que son “</w:t>
      </w:r>
      <w:r w:rsidRPr="001D29F7">
        <w:rPr>
          <w:lang w:val="es-ES"/>
        </w:rPr>
        <w:t>elementos constitutivos de un principio básico y general relacionado con la protección de los derechos humanos”</w:t>
      </w:r>
      <w:r w:rsidRPr="001D29F7">
        <w:rPr>
          <w:rStyle w:val="Refdenotaalpie"/>
          <w:lang w:val="es-ES"/>
        </w:rPr>
        <w:footnoteReference w:id="167"/>
      </w:r>
      <w:r w:rsidRPr="001D29F7">
        <w:rPr>
          <w:lang w:val="es-ES"/>
        </w:rPr>
        <w:t>. Además el Tribunal señaló que los Estados tienen la obligación de adoptar “medidas positivas” para remediar situaciones discriminatorias existentes en sus sociedades y que afectan de manera particular a personas en situación de vulnerabilidad</w:t>
      </w:r>
      <w:r w:rsidRPr="001D29F7">
        <w:rPr>
          <w:rStyle w:val="Refdenotaalpie"/>
          <w:lang w:val="es-ES"/>
        </w:rPr>
        <w:footnoteReference w:id="168"/>
      </w:r>
      <w:r w:rsidRPr="001D29F7">
        <w:rPr>
          <w:lang w:val="es-ES"/>
        </w:rPr>
        <w:t>. El Tribunal puso énfasis en el hecho de que las personas migrantes se encuentran en una particular situación de vulnerabilidad y de desigualdad con respecto a los nacionales de un país, lo cual en la práctica ha conducido a que ambos grupos no gocen del mismo acceso a recursos públicos</w:t>
      </w:r>
      <w:r w:rsidRPr="001D29F7">
        <w:rPr>
          <w:rStyle w:val="Refdenotaalpie"/>
          <w:lang w:val="es-ES"/>
        </w:rPr>
        <w:footnoteReference w:id="169"/>
      </w:r>
      <w:r w:rsidRPr="001D29F7">
        <w:rPr>
          <w:lang w:val="es-ES"/>
        </w:rPr>
        <w:t>. En esta ocasión la Corte hizo referencia al concepto de personas migrantes para referirse de manera “genérica” a las personas emigrantes (esto es, persona que deja un Estado con el propósito de trasladarse a otro y establecerse en él” y a las personas inmigrantes (persona que llega a otro Estado con el propósito de residir en él)</w:t>
      </w:r>
      <w:r w:rsidRPr="001D29F7">
        <w:rPr>
          <w:rStyle w:val="Refdenotaalpie"/>
          <w:lang w:val="es-ES"/>
        </w:rPr>
        <w:footnoteReference w:id="170"/>
      </w:r>
      <w:r w:rsidRPr="001D29F7">
        <w:rPr>
          <w:lang w:val="es-ES"/>
        </w:rPr>
        <w:t>. El Tribunal procedió a establecer los estándares con respecto a las personas “migrantes”, haciendo también referencia a los términos “extranjero” o “persona extranjera”</w:t>
      </w:r>
      <w:r w:rsidRPr="001D29F7">
        <w:rPr>
          <w:lang w:val="es-DO"/>
        </w:rPr>
        <w:t>, así como a las personas “migrantes indocumentad[a]s” y a los “trabajadores migrantes indocumentados” o en situación irregular, si bien el grueso de los estándares fue sentado en torno a los conceptos de “migrante” y “trabajadores migrantes indocumentados”.</w:t>
      </w:r>
      <w:r>
        <w:rPr>
          <w:lang w:val="es-DO"/>
        </w:rPr>
        <w:t xml:space="preserve"> </w:t>
      </w:r>
    </w:p>
    <w:p w14:paraId="0825CE1D" w14:textId="77777777" w:rsidR="0084184A" w:rsidRPr="001D29F7" w:rsidRDefault="0084184A" w:rsidP="0084184A">
      <w:pPr>
        <w:pStyle w:val="Prrafodelista"/>
        <w:ind w:left="0"/>
        <w:rPr>
          <w:lang w:val="es-ES"/>
        </w:rPr>
      </w:pPr>
    </w:p>
    <w:p w14:paraId="2D60DA85" w14:textId="714436F9" w:rsidR="0084184A" w:rsidRPr="0084184A" w:rsidRDefault="0084184A" w:rsidP="004F0770">
      <w:pPr>
        <w:pStyle w:val="Prrafodelista"/>
        <w:widowControl/>
        <w:numPr>
          <w:ilvl w:val="0"/>
          <w:numId w:val="10"/>
        </w:numPr>
        <w:adjustRightInd/>
        <w:ind w:left="0" w:firstLine="0"/>
        <w:contextualSpacing/>
        <w:textAlignment w:val="auto"/>
        <w:rPr>
          <w:b/>
          <w:bCs/>
          <w:lang w:val="es-ES"/>
        </w:rPr>
      </w:pPr>
      <w:r w:rsidRPr="001D29F7">
        <w:rPr>
          <w:lang w:val="es-ES"/>
        </w:rPr>
        <w:t>Ha resultado de gran importancia el desarrollo jurisprudencial en materia de niñez migrante, lo que quedó establecido en la OC-21/14, donde la Corte fijó relevantes estándares, relativos a medidas de protección especial e integral para niños y niñas migrantes, garantías del debido proceso aplicables a procesos migratorios y ante medidas que impliquen la restricción o privación de libertad, así como para garantizar el derecho a buscar y recibir asilo o su derecho a la vida familiar. La Corte nuevamente hizo referencia al concepto de personas migrantes para referirse de manera “genérica” a las personas emigrantes y a las personas inmigrantes</w:t>
      </w:r>
      <w:r w:rsidRPr="001D29F7">
        <w:rPr>
          <w:rStyle w:val="Refdenotaalpie"/>
          <w:lang w:val="es-ES"/>
        </w:rPr>
        <w:footnoteReference w:id="171"/>
      </w:r>
      <w:r w:rsidRPr="001D29F7">
        <w:rPr>
          <w:lang w:val="es-ES"/>
        </w:rPr>
        <w:t>.</w:t>
      </w:r>
      <w:r>
        <w:rPr>
          <w:lang w:val="es-ES"/>
        </w:rPr>
        <w:t xml:space="preserve"> Asimismo, indicó lo siguiente: </w:t>
      </w:r>
    </w:p>
    <w:p w14:paraId="60FDE4FE" w14:textId="77777777" w:rsidR="0084184A" w:rsidRPr="00AB1AA0" w:rsidRDefault="0084184A" w:rsidP="0084184A">
      <w:pPr>
        <w:pStyle w:val="Prrafodelista"/>
        <w:widowControl/>
        <w:adjustRightInd/>
        <w:ind w:left="0"/>
        <w:contextualSpacing/>
        <w:textAlignment w:val="auto"/>
        <w:rPr>
          <w:b/>
          <w:bCs/>
          <w:lang w:val="es-ES"/>
        </w:rPr>
      </w:pPr>
    </w:p>
    <w:p w14:paraId="77ABEBB1" w14:textId="67F6D96F" w:rsidR="0084184A" w:rsidRDefault="0084184A" w:rsidP="0084184A">
      <w:pPr>
        <w:pStyle w:val="NormalWeb"/>
        <w:ind w:left="567" w:right="560"/>
        <w:rPr>
          <w:rFonts w:ascii="Verdana" w:hAnsi="Verdana"/>
          <w:sz w:val="18"/>
          <w:szCs w:val="18"/>
        </w:rPr>
      </w:pPr>
      <w:r>
        <w:rPr>
          <w:rFonts w:ascii="Verdana" w:hAnsi="Verdana"/>
          <w:sz w:val="18"/>
          <w:szCs w:val="18"/>
        </w:rPr>
        <w:t>“</w:t>
      </w:r>
      <w:r w:rsidRPr="00AB1AA0">
        <w:rPr>
          <w:rFonts w:ascii="Verdana" w:hAnsi="Verdana"/>
          <w:sz w:val="18"/>
          <w:szCs w:val="18"/>
        </w:rPr>
        <w:t xml:space="preserve">La migración internacional es un fenómeno complejo que puede involucrar a dos o más Estados, entre países de origen, de tránsito y de destino, tanto de migrantes como de solicitantes de asilo y refugiados. En este contexto y, en particular, de los </w:t>
      </w:r>
      <w:r w:rsidRPr="00AB1AA0">
        <w:rPr>
          <w:rFonts w:ascii="Verdana" w:hAnsi="Verdana"/>
          <w:b/>
          <w:sz w:val="18"/>
          <w:szCs w:val="18"/>
        </w:rPr>
        <w:t xml:space="preserve">flujos migratorios mixtos que implican movimientos poblacionales de carácter diverso, las causas y características del traslado que emprenden niñas y niños </w:t>
      </w:r>
      <w:r w:rsidRPr="00AB1AA0">
        <w:rPr>
          <w:rFonts w:ascii="Verdana" w:hAnsi="Verdana"/>
          <w:sz w:val="18"/>
          <w:szCs w:val="18"/>
        </w:rPr>
        <w:t>por aire, mar o tierra</w:t>
      </w:r>
      <w:r w:rsidRPr="00AB1AA0">
        <w:rPr>
          <w:rFonts w:ascii="Verdana" w:hAnsi="Verdana"/>
          <w:b/>
          <w:sz w:val="18"/>
          <w:szCs w:val="18"/>
        </w:rPr>
        <w:t xml:space="preserve"> hacia países distintos a los de su nacionalidad o residencia habitual pueden abarcar tanto personas que requieren de una protección internacional, como otras que se movilizan en busca de mejores oportunidades por motivos de índole diversa</w:t>
      </w:r>
      <w:r w:rsidRPr="00AB1AA0">
        <w:rPr>
          <w:rFonts w:ascii="Verdana" w:hAnsi="Verdana"/>
          <w:sz w:val="18"/>
          <w:szCs w:val="18"/>
        </w:rPr>
        <w:t xml:space="preserve">, los cuales </w:t>
      </w:r>
      <w:r w:rsidRPr="00AB1AA0">
        <w:rPr>
          <w:rFonts w:ascii="Verdana" w:hAnsi="Verdana"/>
          <w:b/>
          <w:sz w:val="18"/>
          <w:szCs w:val="18"/>
        </w:rPr>
        <w:t>pueden alterarse en el propio transcurso del proceso migratorio</w:t>
      </w:r>
      <w:r w:rsidRPr="00AB1AA0">
        <w:rPr>
          <w:rFonts w:ascii="Verdana" w:hAnsi="Verdana"/>
          <w:sz w:val="18"/>
          <w:szCs w:val="18"/>
        </w:rPr>
        <w:t>. Esto hace que las necesidades y requerimientos de protección puedan variar ampliamente</w:t>
      </w:r>
      <w:r>
        <w:rPr>
          <w:rFonts w:ascii="Verdana" w:hAnsi="Verdana"/>
          <w:sz w:val="18"/>
          <w:szCs w:val="18"/>
        </w:rPr>
        <w:t>”</w:t>
      </w:r>
      <w:r>
        <w:rPr>
          <w:rStyle w:val="Refdenotaalpie"/>
          <w:rFonts w:ascii="Verdana" w:hAnsi="Verdana"/>
          <w:sz w:val="18"/>
          <w:szCs w:val="18"/>
        </w:rPr>
        <w:footnoteReference w:id="172"/>
      </w:r>
      <w:r>
        <w:rPr>
          <w:rFonts w:ascii="Verdana" w:hAnsi="Verdana"/>
          <w:sz w:val="18"/>
          <w:szCs w:val="18"/>
        </w:rPr>
        <w:t>.</w:t>
      </w:r>
    </w:p>
    <w:p w14:paraId="040059B6" w14:textId="77777777" w:rsidR="0084184A" w:rsidRPr="00AB1AA0" w:rsidRDefault="0084184A" w:rsidP="0084184A">
      <w:pPr>
        <w:pStyle w:val="NormalWeb"/>
        <w:ind w:left="567" w:right="560"/>
        <w:rPr>
          <w:rFonts w:ascii="Verdana" w:hAnsi="Verdana"/>
          <w:sz w:val="18"/>
          <w:szCs w:val="18"/>
        </w:rPr>
      </w:pPr>
    </w:p>
    <w:p w14:paraId="197DDB2A" w14:textId="77777777" w:rsidR="0084184A" w:rsidRPr="001D29F7" w:rsidRDefault="0084184A" w:rsidP="004F0770">
      <w:pPr>
        <w:pStyle w:val="Prrafodelista"/>
        <w:widowControl/>
        <w:numPr>
          <w:ilvl w:val="0"/>
          <w:numId w:val="10"/>
        </w:numPr>
        <w:adjustRightInd/>
        <w:ind w:left="0" w:firstLine="0"/>
        <w:contextualSpacing/>
        <w:textAlignment w:val="auto"/>
        <w:rPr>
          <w:lang w:val="es-ES"/>
        </w:rPr>
      </w:pPr>
      <w:r w:rsidRPr="001D29F7">
        <w:rPr>
          <w:lang w:val="es-DO"/>
        </w:rPr>
        <w:t>También se pueden destacar importantes decisiones, como el</w:t>
      </w:r>
      <w:r w:rsidRPr="001D29F7">
        <w:rPr>
          <w:lang w:val="es-ES"/>
        </w:rPr>
        <w:t xml:space="preserve"> </w:t>
      </w:r>
      <w:r w:rsidRPr="001D29F7">
        <w:rPr>
          <w:i/>
          <w:iCs/>
          <w:lang w:val="es-ES"/>
        </w:rPr>
        <w:t>Caso de las niñas Yean y Bosico Vs. República Dominicana</w:t>
      </w:r>
      <w:r w:rsidRPr="001D29F7">
        <w:rPr>
          <w:rStyle w:val="Refdenotaalpie"/>
          <w:lang w:val="es-ES"/>
        </w:rPr>
        <w:footnoteReference w:id="173"/>
      </w:r>
      <w:r w:rsidRPr="001D29F7">
        <w:rPr>
          <w:i/>
          <w:iCs/>
          <w:lang w:val="es-ES"/>
        </w:rPr>
        <w:t xml:space="preserve"> </w:t>
      </w:r>
      <w:r w:rsidRPr="001D29F7">
        <w:rPr>
          <w:lang w:val="es-ES"/>
        </w:rPr>
        <w:t>donde el Tribunal determinó que “el estatus migratorio de una persona no puede ser condición para el otorgamiento de la nacionalidad por el Estado, ya que su calidad migratoria no puede constituir, de ninguna forma, una justificación para privarla del derecho a la nacionalidad ni del goce y ejercicio de sus derechos”</w:t>
      </w:r>
      <w:r w:rsidRPr="001D29F7">
        <w:rPr>
          <w:rStyle w:val="Refdenotaalpie"/>
          <w:lang w:val="es-ES"/>
        </w:rPr>
        <w:footnoteReference w:id="174"/>
      </w:r>
      <w:r w:rsidRPr="001D29F7">
        <w:rPr>
          <w:lang w:val="es-ES"/>
        </w:rPr>
        <w:t xml:space="preserve">, destacando, en este caso, la situación de discriminación que sufrían los niños y niñas de origen haitiano nacidos en el territorio de República Dominicana. La Corte hizo referencia fundamentalmente al término “migrante” y a la “persona extranjera” o “extranjero”. </w:t>
      </w:r>
    </w:p>
    <w:p w14:paraId="0C4DA976" w14:textId="77777777" w:rsidR="0084184A" w:rsidRPr="001D29F7" w:rsidRDefault="0084184A" w:rsidP="0084184A">
      <w:pPr>
        <w:pStyle w:val="Prrafodelista"/>
        <w:ind w:left="0"/>
        <w:rPr>
          <w:lang w:val="es-ES"/>
        </w:rPr>
      </w:pPr>
    </w:p>
    <w:p w14:paraId="1A6AC71F" w14:textId="77777777" w:rsidR="0084184A" w:rsidRPr="00AB1AA0" w:rsidRDefault="0084184A" w:rsidP="004F0770">
      <w:pPr>
        <w:pStyle w:val="Prrafodelista"/>
        <w:widowControl/>
        <w:numPr>
          <w:ilvl w:val="0"/>
          <w:numId w:val="10"/>
        </w:numPr>
        <w:adjustRightInd/>
        <w:spacing w:before="240" w:after="240"/>
        <w:ind w:left="0" w:firstLine="0"/>
        <w:contextualSpacing/>
        <w:textAlignment w:val="auto"/>
        <w:rPr>
          <w:rFonts w:cs="Arial"/>
          <w:lang w:val="es-ES"/>
        </w:rPr>
      </w:pPr>
      <w:r w:rsidRPr="00AB1AA0">
        <w:rPr>
          <w:lang w:val="es-DO"/>
        </w:rPr>
        <w:t xml:space="preserve">Otra sentencia relevante es la recaída en el caso </w:t>
      </w:r>
      <w:r w:rsidRPr="00AB1AA0">
        <w:rPr>
          <w:i/>
          <w:iCs/>
          <w:lang w:val="es-DO"/>
        </w:rPr>
        <w:t>Velez Loor Vs. Panamá</w:t>
      </w:r>
      <w:r w:rsidRPr="00AB1AA0">
        <w:rPr>
          <w:rStyle w:val="Refdenotaalpie"/>
          <w:i/>
          <w:iCs/>
          <w:lang w:val="es-DO"/>
        </w:rPr>
        <w:footnoteReference w:id="175"/>
      </w:r>
      <w:r w:rsidRPr="00AB1AA0">
        <w:rPr>
          <w:lang w:val="es-DO"/>
        </w:rPr>
        <w:t>, donde la Corte abordó, entre otros, la detención de personas migrantes en situación irregular, destacando la situación de vulnerabilidad en la que se encuentra este grupo de personas, influenciado además por la “existencia de prejuicios culturales acerca de los migrantes permiten la reproducción de las condiciones de vulnerabilidad, dificultando la integración de los migrantes a la sociedad”</w:t>
      </w:r>
      <w:r w:rsidRPr="00AB1AA0">
        <w:rPr>
          <w:rStyle w:val="Refdenotaalpie"/>
          <w:lang w:val="es-DO"/>
        </w:rPr>
        <w:footnoteReference w:id="176"/>
      </w:r>
      <w:r w:rsidRPr="00AB1AA0">
        <w:rPr>
          <w:lang w:val="es-DO"/>
        </w:rPr>
        <w:t>. De manera relevante, el Tribunal destacó cómo la existencia de estos factores culturales influía en la falta de acceso efectivo a la justicia</w:t>
      </w:r>
      <w:r w:rsidRPr="00AB1AA0">
        <w:rPr>
          <w:rStyle w:val="Refdenotaalpie"/>
          <w:lang w:val="es-DO"/>
        </w:rPr>
        <w:footnoteReference w:id="177"/>
      </w:r>
      <w:r w:rsidRPr="00AB1AA0">
        <w:rPr>
          <w:lang w:val="es-DO"/>
        </w:rPr>
        <w:t xml:space="preserve"> y reiteró el deber de los Estados de adoptar medidas especiales para garantizar la protección de las personas migrantes</w:t>
      </w:r>
      <w:r w:rsidRPr="00AB1AA0">
        <w:rPr>
          <w:rStyle w:val="Refdenotaalpie"/>
          <w:lang w:val="es-DO"/>
        </w:rPr>
        <w:footnoteReference w:id="178"/>
      </w:r>
      <w:r w:rsidRPr="00AB1AA0">
        <w:rPr>
          <w:lang w:val="es-DO"/>
        </w:rPr>
        <w:t xml:space="preserve"> y, en particular, garantizar que “tengan la posibilidad de hacer valer sus derechos y defender sus intereses en forma efectiva y en condiciones de igualdad procesal con otros justiciables”</w:t>
      </w:r>
      <w:r w:rsidRPr="00AB1AA0">
        <w:rPr>
          <w:rStyle w:val="Refdenotaalpie"/>
          <w:lang w:val="es-DO"/>
        </w:rPr>
        <w:footnoteReference w:id="179"/>
      </w:r>
      <w:r w:rsidRPr="00AB1AA0">
        <w:rPr>
          <w:lang w:val="es-DO"/>
        </w:rPr>
        <w:t xml:space="preserve">. </w:t>
      </w:r>
    </w:p>
    <w:p w14:paraId="0D65AD08" w14:textId="77777777" w:rsidR="0084184A" w:rsidRPr="001D29F7" w:rsidRDefault="0084184A" w:rsidP="0084184A">
      <w:pPr>
        <w:pStyle w:val="Prrafodelista"/>
        <w:spacing w:before="240" w:after="240"/>
        <w:ind w:left="0"/>
        <w:rPr>
          <w:rFonts w:cs="Arial"/>
          <w:lang w:val="es-ES"/>
        </w:rPr>
      </w:pPr>
    </w:p>
    <w:p w14:paraId="10ABCB4C" w14:textId="77777777" w:rsidR="0084184A" w:rsidRPr="001D29F7" w:rsidRDefault="0084184A" w:rsidP="004F0770">
      <w:pPr>
        <w:pStyle w:val="Prrafodelista"/>
        <w:widowControl/>
        <w:numPr>
          <w:ilvl w:val="0"/>
          <w:numId w:val="10"/>
        </w:numPr>
        <w:adjustRightInd/>
        <w:spacing w:before="240" w:after="240"/>
        <w:ind w:left="0" w:firstLine="0"/>
        <w:contextualSpacing/>
        <w:textAlignment w:val="auto"/>
        <w:rPr>
          <w:rFonts w:cs="Arial"/>
          <w:lang w:val="es-ES"/>
        </w:rPr>
      </w:pPr>
      <w:r w:rsidRPr="001D29F7">
        <w:rPr>
          <w:rFonts w:cs="Arial"/>
          <w:lang w:val="es-ES"/>
        </w:rPr>
        <w:t>Asimismo, también destaca la sentencia recaída</w:t>
      </w:r>
      <w:r>
        <w:rPr>
          <w:rFonts w:cs="Arial"/>
          <w:lang w:val="es-ES"/>
        </w:rPr>
        <w:t xml:space="preserve"> </w:t>
      </w:r>
      <w:r w:rsidRPr="001D29F7">
        <w:rPr>
          <w:rFonts w:cs="Arial"/>
          <w:lang w:val="es-ES"/>
        </w:rPr>
        <w:t xml:space="preserve">en el caso </w:t>
      </w:r>
      <w:r w:rsidRPr="001D29F7">
        <w:rPr>
          <w:rFonts w:cs="Arial"/>
          <w:i/>
          <w:iCs/>
          <w:lang w:val="es-ES"/>
        </w:rPr>
        <w:t>Familia Pacheco Tineo Vs. Bolivia</w:t>
      </w:r>
      <w:r w:rsidRPr="001D29F7">
        <w:rPr>
          <w:rStyle w:val="Refdenotaalpie"/>
          <w:rFonts w:cs="Arial"/>
          <w:lang w:val="es-ES"/>
        </w:rPr>
        <w:footnoteReference w:id="180"/>
      </w:r>
      <w:r w:rsidRPr="001D29F7">
        <w:rPr>
          <w:rFonts w:cs="Arial"/>
          <w:i/>
          <w:iCs/>
          <w:lang w:val="es-ES"/>
        </w:rPr>
        <w:t xml:space="preserve">, </w:t>
      </w:r>
      <w:r w:rsidRPr="001D29F7">
        <w:rPr>
          <w:rFonts w:cs="Arial"/>
          <w:lang w:val="es-ES"/>
        </w:rPr>
        <w:t xml:space="preserve">en el cual la Corte continuó con el desarrollo del derecho a las garantías judiciales y protección judicial en casos de expulsión de “migrantes” y “solicitantes del estatuto de refugiados”, haciendo referencia también a la “persona extranjera”. </w:t>
      </w:r>
    </w:p>
    <w:p w14:paraId="29A2EFB6" w14:textId="77777777" w:rsidR="0084184A" w:rsidRPr="001D29F7" w:rsidRDefault="0084184A" w:rsidP="0084184A">
      <w:pPr>
        <w:pStyle w:val="Prrafodelista"/>
        <w:spacing w:before="240" w:after="240"/>
        <w:ind w:left="0"/>
        <w:rPr>
          <w:rFonts w:cs="Arial"/>
          <w:lang w:val="es-ES"/>
        </w:rPr>
      </w:pPr>
    </w:p>
    <w:p w14:paraId="6AD2EF6F" w14:textId="77777777" w:rsidR="0084184A" w:rsidRPr="001D29F7" w:rsidRDefault="0084184A" w:rsidP="004F0770">
      <w:pPr>
        <w:pStyle w:val="Prrafodelista"/>
        <w:widowControl/>
        <w:numPr>
          <w:ilvl w:val="0"/>
          <w:numId w:val="10"/>
        </w:numPr>
        <w:adjustRightInd/>
        <w:spacing w:before="240" w:after="240"/>
        <w:ind w:left="0" w:firstLine="0"/>
        <w:contextualSpacing/>
        <w:textAlignment w:val="auto"/>
        <w:rPr>
          <w:rFonts w:cs="Arial"/>
          <w:lang w:val="es-ES"/>
        </w:rPr>
      </w:pPr>
      <w:r w:rsidRPr="001D29F7">
        <w:rPr>
          <w:rFonts w:cs="Arial"/>
          <w:lang w:val="es-ES"/>
        </w:rPr>
        <w:t>Por último, destaco los recientes pronunciamientos de la Corte en materia de protección de personas migrantes, relacionados con la Pandemia provocada por el Covid-19 y que necesariamente se relacionan con los derechos económicos, sociales, culturales y ambientales (DESCA), y, en particular, con el derecho a la salud. A este respecto el Tribunal, en su reciente Declaración 1/20 de 9 de abril de 2020</w:t>
      </w:r>
      <w:r w:rsidRPr="001D29F7">
        <w:rPr>
          <w:rStyle w:val="Refdenotaalpie"/>
          <w:rFonts w:cs="Arial"/>
          <w:lang w:val="es-ES"/>
        </w:rPr>
        <w:footnoteReference w:id="181"/>
      </w:r>
      <w:r w:rsidRPr="001D29F7">
        <w:rPr>
          <w:rFonts w:cs="Arial"/>
          <w:lang w:val="es-ES"/>
        </w:rPr>
        <w:t>, ha destacado el necesario énfasis que se debe poner sobre la protección que se debe otorgar a las personas migrantes en materia de DESCA y, en particular, sobre los derechos a la vida y a la salud, ha resaltado:</w:t>
      </w:r>
    </w:p>
    <w:p w14:paraId="393858C1" w14:textId="77777777" w:rsidR="0084184A" w:rsidRPr="001D29F7" w:rsidRDefault="0084184A" w:rsidP="0084184A">
      <w:pPr>
        <w:pStyle w:val="Prrafodelista"/>
        <w:ind w:left="0"/>
        <w:rPr>
          <w:lang w:val="es-ES"/>
        </w:rPr>
      </w:pPr>
    </w:p>
    <w:p w14:paraId="41B1BF73" w14:textId="77777777" w:rsidR="0084184A" w:rsidRPr="001D29F7" w:rsidRDefault="0084184A" w:rsidP="0084184A">
      <w:pPr>
        <w:pStyle w:val="Prrafodelista"/>
        <w:ind w:left="567" w:right="560"/>
        <w:rPr>
          <w:sz w:val="18"/>
          <w:szCs w:val="18"/>
          <w:lang w:val="es-ES"/>
        </w:rPr>
      </w:pPr>
      <w:r w:rsidRPr="001D29F7">
        <w:rPr>
          <w:rFonts w:cs="Calibri"/>
          <w:sz w:val="18"/>
          <w:szCs w:val="18"/>
          <w:lang w:val="es-ES"/>
        </w:rPr>
        <w:t xml:space="preserve">“Dada la naturaleza de la pandemia, los </w:t>
      </w:r>
      <w:r w:rsidRPr="001D29F7">
        <w:rPr>
          <w:rFonts w:cs="Calibri"/>
          <w:b/>
          <w:bCs/>
          <w:sz w:val="18"/>
          <w:szCs w:val="18"/>
          <w:lang w:val="es-ES"/>
        </w:rPr>
        <w:t xml:space="preserve">derechos económicos, sociales, culturales y ambientales </w:t>
      </w:r>
      <w:r w:rsidRPr="001D29F7">
        <w:rPr>
          <w:rFonts w:cs="Calibri"/>
          <w:sz w:val="18"/>
          <w:szCs w:val="18"/>
          <w:lang w:val="es-ES"/>
        </w:rPr>
        <w:t xml:space="preserve">deben ser garantizados </w:t>
      </w:r>
      <w:r w:rsidRPr="001D29F7">
        <w:rPr>
          <w:rFonts w:cs="Calibri"/>
          <w:b/>
          <w:bCs/>
          <w:sz w:val="18"/>
          <w:szCs w:val="18"/>
          <w:lang w:val="es-ES"/>
        </w:rPr>
        <w:t>sin discriminación</w:t>
      </w:r>
      <w:r w:rsidRPr="001D29F7">
        <w:rPr>
          <w:rFonts w:cs="Calibri"/>
          <w:sz w:val="18"/>
          <w:szCs w:val="18"/>
          <w:lang w:val="es-ES"/>
        </w:rPr>
        <w:t xml:space="preserve"> a toda persona bajo la jurisdicción del Estado y, en especial, a aquellos grupos que son afectados de forma desproporcionada porque se encuentran </w:t>
      </w:r>
      <w:r w:rsidRPr="001D29F7">
        <w:rPr>
          <w:rFonts w:cs="Calibri"/>
          <w:b/>
          <w:bCs/>
          <w:sz w:val="18"/>
          <w:szCs w:val="18"/>
          <w:lang w:val="es-ES"/>
        </w:rPr>
        <w:t xml:space="preserve">en situación de mayor </w:t>
      </w:r>
      <w:r w:rsidRPr="001D29F7">
        <w:rPr>
          <w:b/>
          <w:bCs/>
          <w:sz w:val="18"/>
          <w:szCs w:val="18"/>
          <w:shd w:val="clear" w:color="auto" w:fill="FFFFFF"/>
          <w:lang w:val="es-ES"/>
        </w:rPr>
        <w:t>vulnerabilidad</w:t>
      </w:r>
      <w:r w:rsidRPr="001D29F7">
        <w:rPr>
          <w:rFonts w:cs="Calibri"/>
          <w:b/>
          <w:bCs/>
          <w:sz w:val="18"/>
          <w:szCs w:val="18"/>
          <w:lang w:val="es-ES"/>
        </w:rPr>
        <w:t>,</w:t>
      </w:r>
      <w:r w:rsidRPr="001D29F7">
        <w:rPr>
          <w:rFonts w:cs="Calibri"/>
          <w:sz w:val="18"/>
          <w:szCs w:val="18"/>
          <w:lang w:val="es-ES"/>
        </w:rPr>
        <w:t xml:space="preserve"> como son las personas mayores, las niñas y los niños, las personas con discapacidad, </w:t>
      </w:r>
      <w:r w:rsidRPr="001D29F7">
        <w:rPr>
          <w:rFonts w:cs="Calibri"/>
          <w:b/>
          <w:bCs/>
          <w:sz w:val="18"/>
          <w:szCs w:val="18"/>
          <w:lang w:val="es-ES"/>
        </w:rPr>
        <w:t>las personas migrantes,</w:t>
      </w:r>
      <w:r w:rsidRPr="001D29F7">
        <w:rPr>
          <w:rFonts w:cs="Calibri"/>
          <w:sz w:val="18"/>
          <w:szCs w:val="18"/>
          <w:lang w:val="es-ES"/>
        </w:rPr>
        <w:t xml:space="preserve"> los refugiados, los apátridas </w:t>
      </w:r>
      <w:r w:rsidRPr="001D29F7">
        <w:rPr>
          <w:rStyle w:val="Refdenotaalpie"/>
          <w:rFonts w:cs="Calibri"/>
          <w:sz w:val="18"/>
          <w:szCs w:val="18"/>
          <w:lang w:val="es-ES"/>
        </w:rPr>
        <w:footnoteReference w:id="182"/>
      </w:r>
    </w:p>
    <w:p w14:paraId="5B0A88BA" w14:textId="77777777" w:rsidR="0084184A" w:rsidRPr="001D29F7" w:rsidRDefault="0084184A" w:rsidP="0084184A">
      <w:pPr>
        <w:pStyle w:val="Prrafodelista"/>
        <w:ind w:left="567" w:right="560"/>
        <w:rPr>
          <w:sz w:val="18"/>
          <w:szCs w:val="18"/>
          <w:lang w:val="es-ES"/>
        </w:rPr>
      </w:pPr>
    </w:p>
    <w:p w14:paraId="3E2C1B44" w14:textId="77777777" w:rsidR="0084184A" w:rsidRPr="001D29F7" w:rsidRDefault="0084184A" w:rsidP="0084184A">
      <w:pPr>
        <w:pStyle w:val="Prrafodelista"/>
        <w:ind w:left="567" w:right="560"/>
        <w:rPr>
          <w:sz w:val="18"/>
          <w:szCs w:val="18"/>
          <w:lang w:val="es-ES"/>
        </w:rPr>
      </w:pPr>
      <w:r w:rsidRPr="001D29F7">
        <w:rPr>
          <w:rFonts w:cs="Calibri"/>
          <w:sz w:val="18"/>
          <w:szCs w:val="18"/>
          <w:lang w:val="es-ES"/>
        </w:rPr>
        <w:t xml:space="preserve">En estos momentos, </w:t>
      </w:r>
      <w:r w:rsidRPr="001D29F7">
        <w:rPr>
          <w:rFonts w:cs="Calibri"/>
          <w:b/>
          <w:bCs/>
          <w:sz w:val="18"/>
          <w:szCs w:val="18"/>
          <w:lang w:val="es-ES"/>
        </w:rPr>
        <w:t>especial énfasis</w:t>
      </w:r>
      <w:r w:rsidRPr="001D29F7">
        <w:rPr>
          <w:rFonts w:cs="Calibri"/>
          <w:sz w:val="18"/>
          <w:szCs w:val="18"/>
          <w:lang w:val="es-ES"/>
        </w:rPr>
        <w:t xml:space="preserve"> adquiere garantizar de manera oportuna y apropiada los </w:t>
      </w:r>
      <w:r w:rsidRPr="001D29F7">
        <w:rPr>
          <w:rFonts w:cs="Calibri"/>
          <w:b/>
          <w:bCs/>
          <w:sz w:val="18"/>
          <w:szCs w:val="18"/>
          <w:lang w:val="es-ES"/>
        </w:rPr>
        <w:t>derechos a la vida y a la salud</w:t>
      </w:r>
      <w:r w:rsidRPr="001D29F7">
        <w:rPr>
          <w:rFonts w:cs="Calibri"/>
          <w:sz w:val="18"/>
          <w:szCs w:val="18"/>
          <w:lang w:val="es-ES"/>
        </w:rPr>
        <w:t xml:space="preserve"> de todas las personas bajo la jurisdicción del Estado sin discriminación alguna, incluyendo a los adultos mayores, </w:t>
      </w:r>
      <w:r w:rsidRPr="001D29F7">
        <w:rPr>
          <w:rFonts w:cs="Calibri"/>
          <w:b/>
          <w:bCs/>
          <w:sz w:val="18"/>
          <w:szCs w:val="18"/>
          <w:lang w:val="es-ES"/>
        </w:rPr>
        <w:t>las personas migrantes, refugiadas y apátridas</w:t>
      </w:r>
      <w:r w:rsidRPr="001D29F7">
        <w:rPr>
          <w:rFonts w:cs="Calibri"/>
          <w:sz w:val="18"/>
          <w:szCs w:val="18"/>
          <w:lang w:val="es-ES"/>
        </w:rPr>
        <w:t>, y los miembros de las comunidades indígenas”</w:t>
      </w:r>
      <w:r w:rsidRPr="001D29F7">
        <w:rPr>
          <w:rStyle w:val="Refdenotaalpie"/>
          <w:rFonts w:cs="Calibri"/>
          <w:sz w:val="18"/>
          <w:szCs w:val="18"/>
          <w:lang w:val="es-ES"/>
        </w:rPr>
        <w:footnoteReference w:id="183"/>
      </w:r>
      <w:r w:rsidRPr="001D29F7">
        <w:rPr>
          <w:rFonts w:cs="Calibri"/>
          <w:sz w:val="18"/>
          <w:szCs w:val="18"/>
          <w:lang w:val="es-ES"/>
        </w:rPr>
        <w:t xml:space="preserve">. </w:t>
      </w:r>
    </w:p>
    <w:p w14:paraId="3D1ED56C" w14:textId="77777777" w:rsidR="0084184A" w:rsidRPr="001D29F7" w:rsidRDefault="0084184A" w:rsidP="0084184A">
      <w:pPr>
        <w:pStyle w:val="Prrafodelista"/>
        <w:ind w:left="0"/>
        <w:rPr>
          <w:lang w:val="es-ES"/>
        </w:rPr>
      </w:pPr>
    </w:p>
    <w:p w14:paraId="62EE6247" w14:textId="77777777" w:rsidR="0084184A" w:rsidRPr="001D29F7" w:rsidRDefault="0084184A" w:rsidP="004F0770">
      <w:pPr>
        <w:pStyle w:val="Prrafodelista"/>
        <w:widowControl/>
        <w:numPr>
          <w:ilvl w:val="0"/>
          <w:numId w:val="10"/>
        </w:numPr>
        <w:adjustRightInd/>
        <w:ind w:left="0" w:firstLine="0"/>
        <w:contextualSpacing/>
        <w:textAlignment w:val="auto"/>
        <w:rPr>
          <w:lang w:val="es-ES"/>
        </w:rPr>
      </w:pPr>
      <w:r w:rsidRPr="001D29F7">
        <w:rPr>
          <w:rFonts w:cs="Calibri"/>
          <w:lang w:val="es-ES"/>
        </w:rPr>
        <w:t xml:space="preserve">Fundamentos de esta declaración se han visto incorporados en la reciente resolución de medidas urgentes adoptadas por la Presidencia en el caso ya antes referido de </w:t>
      </w:r>
      <w:r w:rsidRPr="001D29F7">
        <w:rPr>
          <w:rFonts w:cs="Calibri"/>
          <w:i/>
          <w:iCs/>
          <w:lang w:val="es-ES"/>
        </w:rPr>
        <w:t>Vélez Loor Vs. Panamá</w:t>
      </w:r>
      <w:r w:rsidRPr="001D29F7">
        <w:rPr>
          <w:rStyle w:val="Refdenotaalpie"/>
          <w:rFonts w:cs="Calibri"/>
          <w:lang w:val="es-ES"/>
        </w:rPr>
        <w:footnoteReference w:id="184"/>
      </w:r>
      <w:r w:rsidRPr="001D29F7">
        <w:rPr>
          <w:rFonts w:cs="Calibri"/>
          <w:lang w:val="es-ES"/>
        </w:rPr>
        <w:t xml:space="preserve">, donde, en el marco de la supervisión de la sentencia, y ante la irrupción de la pandemia de Covid-19 y el contagio de, al menos, 58 personas migrantes y varios funcionarios, la Presidenta de la Corte consideró que las condiciones de hacinamiento y atención de salud no cumplían con los estándares interamericanos y generaban una situación de extrema gravedad y urgencia que podría acarrear daños irreparables a los derechos a la salud, integridad personal y vida de las personas retenidas en la Estación de Recepción Migratoria La Peñita y en Laja Blanca. Bajo estas consideraciones, requirió al Estado de Panamá que adoptara “todas las medidas adecuadas para proteger efectivamente los derechos a la salud, integridad personal y vida de las personas” que se encuentran en los señalados centros de detención de personas migrantes. </w:t>
      </w:r>
    </w:p>
    <w:p w14:paraId="6E3D3A06" w14:textId="77777777" w:rsidR="0084184A" w:rsidRPr="001D29F7" w:rsidRDefault="0084184A" w:rsidP="004F0770">
      <w:pPr>
        <w:pStyle w:val="Prrafodelista"/>
        <w:widowControl/>
        <w:numPr>
          <w:ilvl w:val="0"/>
          <w:numId w:val="11"/>
        </w:numPr>
        <w:tabs>
          <w:tab w:val="left" w:pos="709"/>
        </w:tabs>
        <w:adjustRightInd/>
        <w:spacing w:before="240" w:after="240"/>
        <w:ind w:left="1417" w:hanging="357"/>
        <w:textAlignment w:val="auto"/>
        <w:rPr>
          <w:b/>
          <w:lang w:val="es-DO"/>
        </w:rPr>
      </w:pPr>
      <w:r w:rsidRPr="001D29F7">
        <w:rPr>
          <w:b/>
          <w:lang w:val="es-DO"/>
        </w:rPr>
        <w:t>Conclusión</w:t>
      </w:r>
    </w:p>
    <w:p w14:paraId="3DE7D82A" w14:textId="77777777" w:rsidR="0084184A" w:rsidRPr="001D29F7" w:rsidRDefault="0084184A" w:rsidP="004F0770">
      <w:pPr>
        <w:pStyle w:val="Prrafodelista"/>
        <w:widowControl/>
        <w:numPr>
          <w:ilvl w:val="0"/>
          <w:numId w:val="10"/>
        </w:numPr>
        <w:adjustRightInd/>
        <w:ind w:left="0" w:firstLine="0"/>
        <w:contextualSpacing/>
        <w:textAlignment w:val="auto"/>
        <w:rPr>
          <w:lang w:val="es-DO"/>
        </w:rPr>
      </w:pPr>
      <w:r w:rsidRPr="001D29F7">
        <w:rPr>
          <w:lang w:val="es-DO"/>
        </w:rPr>
        <w:t>La migración humana es un fenómeno inherente a los inicios de la historia de la humanidad. Se calcula que en 2015 había 244 millones de migrantes internacionales en todo el mundo (esto es, un 3,3% de la población mundial), lo que representó un incremento respecto de los 155 millones de migrantes estimados en el año 2000 (2,8% de la población mundial)</w:t>
      </w:r>
      <w:r w:rsidRPr="001D29F7">
        <w:rPr>
          <w:vertAlign w:val="superscript"/>
          <w:lang w:val="es-DO"/>
        </w:rPr>
        <w:footnoteReference w:id="185"/>
      </w:r>
      <w:r w:rsidRPr="001D29F7">
        <w:rPr>
          <w:lang w:val="es-DO"/>
        </w:rPr>
        <w:t>. Actualmente, según cifras del Departamento de Asuntos Económicos y Sociales (DAES) de la ONU</w:t>
      </w:r>
      <w:r w:rsidRPr="001D29F7">
        <w:rPr>
          <w:rStyle w:val="Refdenotaalpie"/>
          <w:lang w:val="es-DO"/>
        </w:rPr>
        <w:footnoteReference w:id="186"/>
      </w:r>
      <w:r w:rsidRPr="001D29F7">
        <w:rPr>
          <w:lang w:val="es-DO"/>
        </w:rPr>
        <w:t>, el flujo de personas migrantes internacionales asciende a 271,6 millones. Lo anterior equivale al 3,5% de la población total</w:t>
      </w:r>
      <w:r w:rsidRPr="001D29F7">
        <w:rPr>
          <w:rStyle w:val="Refdenotaalpie"/>
          <w:lang w:val="es-DO"/>
        </w:rPr>
        <w:footnoteReference w:id="187"/>
      </w:r>
      <w:r w:rsidRPr="001D29F7">
        <w:rPr>
          <w:lang w:val="es-DO"/>
        </w:rPr>
        <w:t>. A día de hoy, es claro que este tipo de migración presenta una tendencia al alza que merece nuestra mayor atención.</w:t>
      </w:r>
    </w:p>
    <w:p w14:paraId="025C90F6" w14:textId="77777777" w:rsidR="0084184A" w:rsidRPr="001D29F7" w:rsidRDefault="0084184A" w:rsidP="0084184A">
      <w:pPr>
        <w:pStyle w:val="Prrafodelista"/>
        <w:ind w:left="0"/>
        <w:rPr>
          <w:lang w:val="es-DO"/>
        </w:rPr>
      </w:pPr>
    </w:p>
    <w:p w14:paraId="3431EEB5" w14:textId="77777777" w:rsidR="0084184A" w:rsidRPr="001D29F7" w:rsidRDefault="0084184A" w:rsidP="004F0770">
      <w:pPr>
        <w:pStyle w:val="Prrafodelista"/>
        <w:widowControl/>
        <w:numPr>
          <w:ilvl w:val="0"/>
          <w:numId w:val="10"/>
        </w:numPr>
        <w:adjustRightInd/>
        <w:ind w:left="0" w:firstLine="0"/>
        <w:contextualSpacing/>
        <w:textAlignment w:val="auto"/>
        <w:rPr>
          <w:rFonts w:cstheme="minorBidi"/>
          <w:lang w:val="es-ES"/>
        </w:rPr>
      </w:pPr>
      <w:r w:rsidRPr="001D29F7">
        <w:rPr>
          <w:lang w:val="es-DO"/>
        </w:rPr>
        <w:t>Sin duda, uno de los mayores y universales desafíos es el continuo y masivo movimiento de personas entre países, un fenómeno que se ha visto exacerbado por la globalización y la socialización de la desigualdad que han exponenciado los alarmantes niveles de pobreza</w:t>
      </w:r>
      <w:r w:rsidRPr="001D29F7">
        <w:rPr>
          <w:rStyle w:val="Refdenotaalpie"/>
          <w:lang w:val="es-DO"/>
        </w:rPr>
        <w:footnoteReference w:id="188"/>
      </w:r>
      <w:r w:rsidRPr="001D29F7">
        <w:rPr>
          <w:lang w:val="es-DO"/>
        </w:rPr>
        <w:t xml:space="preserve"> y pobreza extrema</w:t>
      </w:r>
      <w:r w:rsidRPr="001D29F7">
        <w:rPr>
          <w:rStyle w:val="Refdenotaalpie"/>
          <w:lang w:val="es-DO"/>
        </w:rPr>
        <w:footnoteReference w:id="189"/>
      </w:r>
      <w:r w:rsidRPr="001D29F7">
        <w:rPr>
          <w:lang w:val="es-DO"/>
        </w:rPr>
        <w:t>, así como por los efectos catastróficos del cambio climático</w:t>
      </w:r>
      <w:r w:rsidRPr="001D29F7">
        <w:rPr>
          <w:rStyle w:val="Refdenotaalpie"/>
          <w:lang w:val="es-DO"/>
        </w:rPr>
        <w:footnoteReference w:id="190"/>
      </w:r>
      <w:r w:rsidRPr="001D29F7">
        <w:rPr>
          <w:lang w:val="es-DO"/>
        </w:rPr>
        <w:t>.</w:t>
      </w:r>
      <w:r w:rsidRPr="001D29F7">
        <w:rPr>
          <w:rFonts w:cs="Arial"/>
          <w:lang w:val="es-ES"/>
        </w:rPr>
        <w:t xml:space="preserve"> Estos factores, cuyos actuales límites y porcentajes seguramente serán sobrepasados por la crisis económica global que se deriva de la pandemia por Covid-19 que azota a nuestro planeta</w:t>
      </w:r>
      <w:r w:rsidRPr="001D29F7">
        <w:rPr>
          <w:rStyle w:val="Refdenotaalpie"/>
          <w:rFonts w:cs="Arial"/>
          <w:lang w:val="es-ES"/>
        </w:rPr>
        <w:footnoteReference w:id="191"/>
      </w:r>
      <w:r w:rsidRPr="001D29F7">
        <w:rPr>
          <w:rFonts w:cs="Arial"/>
          <w:lang w:val="es-ES"/>
        </w:rPr>
        <w:t xml:space="preserve">, </w:t>
      </w:r>
      <w:r w:rsidRPr="001D29F7">
        <w:rPr>
          <w:shd w:val="clear" w:color="auto" w:fill="FFFFFF"/>
          <w:lang w:val="es-ES"/>
        </w:rPr>
        <w:t>aumentará</w:t>
      </w:r>
      <w:r w:rsidRPr="001D29F7">
        <w:rPr>
          <w:rFonts w:cs="Arial"/>
          <w:lang w:val="es-ES"/>
        </w:rPr>
        <w:t xml:space="preserve"> la discrepancia entre la realidad social, azarosa y cambiante, con la indispensable adecuación y regulación normativa, así como por las</w:t>
      </w:r>
      <w:r>
        <w:rPr>
          <w:rFonts w:cs="Arial"/>
          <w:lang w:val="es-ES"/>
        </w:rPr>
        <w:t xml:space="preserve"> </w:t>
      </w:r>
      <w:r w:rsidRPr="001D29F7">
        <w:rPr>
          <w:rFonts w:cs="Arial"/>
          <w:lang w:val="es-ES"/>
        </w:rPr>
        <w:t>posibilidades,</w:t>
      </w:r>
      <w:r>
        <w:rPr>
          <w:rFonts w:cs="Arial"/>
          <w:lang w:val="es-ES"/>
        </w:rPr>
        <w:t xml:space="preserve"> </w:t>
      </w:r>
      <w:r w:rsidRPr="001D29F7">
        <w:rPr>
          <w:rFonts w:cs="Arial"/>
          <w:lang w:val="es-ES"/>
        </w:rPr>
        <w:t xml:space="preserve">oportunidades y desafíos para su legislación. </w:t>
      </w:r>
      <w:r w:rsidRPr="001D29F7">
        <w:rPr>
          <w:lang w:val="es-ES"/>
        </w:rPr>
        <w:t xml:space="preserve">Es por ello que resulta capital, y sobre todo urgente, contribuir, desde el foro jurisdiccional interamericano, con una reflexión jurídica y de derechos humanos, para vigorizar de una manera inclusiva y garantista, la renovada y cambiante realidad migrante, su naturaleza y ámbito de protección. </w:t>
      </w:r>
    </w:p>
    <w:p w14:paraId="7A9F5837" w14:textId="77777777" w:rsidR="0084184A" w:rsidRPr="001D29F7" w:rsidRDefault="0084184A" w:rsidP="0084184A">
      <w:pPr>
        <w:pStyle w:val="Prrafodelista"/>
        <w:ind w:left="0"/>
        <w:rPr>
          <w:rFonts w:cstheme="minorBidi"/>
          <w:lang w:val="es-ES"/>
        </w:rPr>
      </w:pPr>
    </w:p>
    <w:p w14:paraId="4E082B3E" w14:textId="77777777" w:rsidR="0084184A" w:rsidRPr="001D29F7" w:rsidRDefault="0084184A" w:rsidP="004F0770">
      <w:pPr>
        <w:pStyle w:val="Prrafodelista"/>
        <w:widowControl/>
        <w:numPr>
          <w:ilvl w:val="0"/>
          <w:numId w:val="10"/>
        </w:numPr>
        <w:adjustRightInd/>
        <w:ind w:left="0" w:firstLine="0"/>
        <w:contextualSpacing/>
        <w:textAlignment w:val="auto"/>
        <w:rPr>
          <w:lang w:val="es-ES"/>
        </w:rPr>
      </w:pPr>
      <w:r w:rsidRPr="001D29F7">
        <w:rPr>
          <w:shd w:val="clear" w:color="auto" w:fill="FFFFFF"/>
          <w:lang w:val="es-ES"/>
        </w:rPr>
        <w:t xml:space="preserve">El fenómeno migratorio afecta a la totalidad de los Estados del planeta, ya </w:t>
      </w:r>
      <w:r w:rsidRPr="001D29F7">
        <w:rPr>
          <w:lang w:val="es-DO"/>
        </w:rPr>
        <w:t>sea</w:t>
      </w:r>
      <w:r w:rsidRPr="001D29F7">
        <w:rPr>
          <w:shd w:val="clear" w:color="auto" w:fill="FFFFFF"/>
          <w:lang w:val="es-ES"/>
        </w:rPr>
        <w:t xml:space="preserve"> como países de origen, tránsito y/o destino de las migraciones, y es una cuestión global que requiere de soluciones globales.</w:t>
      </w:r>
      <w:r>
        <w:rPr>
          <w:shd w:val="clear" w:color="auto" w:fill="FFFFFF"/>
          <w:lang w:val="es-ES"/>
        </w:rPr>
        <w:t xml:space="preserve"> </w:t>
      </w:r>
      <w:r w:rsidRPr="001D29F7">
        <w:rPr>
          <w:shd w:val="clear" w:color="auto" w:fill="FFFFFF"/>
          <w:lang w:val="es-ES"/>
        </w:rPr>
        <w:t xml:space="preserve">La aproximación que se realiza desde el Derecho Internacional de los Derechos Humanos al fenómeno migratorio es insuficiente. </w:t>
      </w:r>
      <w:r w:rsidRPr="001D29F7">
        <w:rPr>
          <w:lang w:val="es-DO"/>
        </w:rPr>
        <w:t>Los debates políticos y legales sobre la regulación de la migración internacional tradicionalmente se han centrado en cuestiones como el control fronterizo, bajo un relato y terminología que normaliza en la sociedad una “lógica” belicista del “enemigo”, del “hostil” y, por ello, la acción gubernamental en fronteras</w:t>
      </w:r>
      <w:r>
        <w:rPr>
          <w:lang w:val="es-DO"/>
        </w:rPr>
        <w:t>, ade</w:t>
      </w:r>
      <w:r w:rsidRPr="001D29F7">
        <w:rPr>
          <w:lang w:val="es-DO"/>
        </w:rPr>
        <w:t xml:space="preserve">más de estar socialmente aceptada, es percibida como una acción de protección a los nacionales de un Estado, al estar íntimamente ligada a la fórmula “para combatir”, bien sea: el tráfico de drogas, el crimen organizado, la trata de personas, los “indocumentados” </w:t>
      </w:r>
      <w:r w:rsidRPr="007703D1">
        <w:rPr>
          <w:i/>
          <w:lang w:val="es-DO"/>
        </w:rPr>
        <w:t>etc</w:t>
      </w:r>
      <w:r w:rsidRPr="001D29F7">
        <w:rPr>
          <w:lang w:val="es-DO"/>
        </w:rPr>
        <w:t xml:space="preserve">…, y, claro, en ese contexto de “guerra”, siempre habrá víctimas directas o “colaterales” donde poco importan los derechos de los involucrados como actores sustantivos del drama, </w:t>
      </w:r>
      <w:r w:rsidRPr="001D29F7">
        <w:rPr>
          <w:i/>
          <w:lang w:val="es-DO"/>
        </w:rPr>
        <w:t>ergo</w:t>
      </w:r>
      <w:r w:rsidRPr="001D29F7">
        <w:rPr>
          <w:lang w:val="es-DO"/>
        </w:rPr>
        <w:t>: las mujeres, niñas, hombres, niños, ancianas y ancianos.</w:t>
      </w:r>
      <w:r>
        <w:rPr>
          <w:lang w:val="es-DO"/>
        </w:rPr>
        <w:t xml:space="preserve"> </w:t>
      </w:r>
      <w:r w:rsidRPr="001D29F7">
        <w:rPr>
          <w:lang w:val="es-DO"/>
        </w:rPr>
        <w:t xml:space="preserve"> Por lo expuesto, la aproximación que se realiza desde los países hacia la regulación de la migración requiere de una reformulación ontológica que supere la percepción del otro como un “enemigo” o “irregular”, cuando no “ilegal”, para acercarle a una percepción de que la migración la componen personas humanas que, por multicausalidades, se ven en situación de movilidad forzada y en tal condición son sujetos, por su puesto de obligaciones, pero igualmente, portadores de derechos consustanciales a su condición humana. </w:t>
      </w:r>
    </w:p>
    <w:p w14:paraId="2A6FCDB4" w14:textId="77777777" w:rsidR="0084184A" w:rsidRPr="001D29F7" w:rsidRDefault="0084184A" w:rsidP="0084184A">
      <w:pPr>
        <w:pStyle w:val="Prrafodelista"/>
        <w:ind w:left="0"/>
        <w:rPr>
          <w:lang w:val="es-ES"/>
        </w:rPr>
      </w:pPr>
    </w:p>
    <w:p w14:paraId="1E33469D" w14:textId="77777777" w:rsidR="0084184A" w:rsidRPr="001D29F7" w:rsidRDefault="0084184A" w:rsidP="004F0770">
      <w:pPr>
        <w:pStyle w:val="Prrafodelista"/>
        <w:widowControl/>
        <w:numPr>
          <w:ilvl w:val="0"/>
          <w:numId w:val="10"/>
        </w:numPr>
        <w:adjustRightInd/>
        <w:ind w:left="0" w:firstLine="0"/>
        <w:contextualSpacing/>
        <w:textAlignment w:val="auto"/>
        <w:rPr>
          <w:lang w:val="es-DO"/>
        </w:rPr>
      </w:pPr>
      <w:r w:rsidRPr="001D29F7">
        <w:rPr>
          <w:lang w:val="es-DO"/>
        </w:rPr>
        <w:t>En este sentido, es laudable y no menos importante, ratificar en este voto, y ser coincidente, como ya lo he manifestado públicamente en pronunciamientos y decisiones de la Corte relacionados con los derechos económicos, sociales, culturales y ambientales, la imperiosa reivindicación jurisdiccional de la obligación internacional que asumen los Estados parte del sistema interamericano que han suscrito y ratificado voluntariamente compromisos internacionales, sin reservas, para reconocer, acatar, aplicar e implementar de manera progresiva pero activa y</w:t>
      </w:r>
      <w:r>
        <w:rPr>
          <w:lang w:val="es-DO"/>
        </w:rPr>
        <w:t xml:space="preserve"> eficaz</w:t>
      </w:r>
      <w:r w:rsidRPr="001D29F7">
        <w:rPr>
          <w:lang w:val="es-DO"/>
        </w:rPr>
        <w:t xml:space="preserve"> la Agenda 2030 de Desarrollo Sostenible</w:t>
      </w:r>
      <w:r w:rsidRPr="001D29F7">
        <w:rPr>
          <w:vertAlign w:val="superscript"/>
          <w:lang w:val="es-DO"/>
        </w:rPr>
        <w:footnoteReference w:id="192"/>
      </w:r>
      <w:r w:rsidRPr="001D29F7">
        <w:rPr>
          <w:lang w:val="es-DO"/>
        </w:rPr>
        <w:t>, y, de manera particular y especial, para el caso que nos ocupa, los</w:t>
      </w:r>
      <w:r>
        <w:rPr>
          <w:lang w:val="es-DO"/>
        </w:rPr>
        <w:t xml:space="preserve"> </w:t>
      </w:r>
      <w:r w:rsidRPr="001D29F7">
        <w:rPr>
          <w:lang w:val="es-DO"/>
        </w:rPr>
        <w:t xml:space="preserve">11 de los 17 Objetivos de Desarrollo Sostenible, con las metas e indicadores relacionados con la migración o el desplazamiento, donde se comprometen a cumplir con la meta 10.7 que estipula como objetivo para el 2030: “Facilitar la migración y la movilidad ordenadas, seguras, regulares y responsables de las personas, incluso mediante la aplicación de políticas migratorias planificadas y bien gestionadas”. </w:t>
      </w:r>
    </w:p>
    <w:p w14:paraId="3028AECE" w14:textId="77777777" w:rsidR="0084184A" w:rsidRPr="001D29F7" w:rsidRDefault="0084184A" w:rsidP="0084184A">
      <w:pPr>
        <w:pStyle w:val="Prrafodelista"/>
        <w:ind w:left="0"/>
        <w:rPr>
          <w:lang w:val="es-DO"/>
        </w:rPr>
      </w:pPr>
    </w:p>
    <w:p w14:paraId="23C6F066" w14:textId="77777777" w:rsidR="0084184A" w:rsidRPr="001D29F7" w:rsidRDefault="0084184A" w:rsidP="004F0770">
      <w:pPr>
        <w:pStyle w:val="Prrafodelista"/>
        <w:widowControl/>
        <w:numPr>
          <w:ilvl w:val="0"/>
          <w:numId w:val="10"/>
        </w:numPr>
        <w:adjustRightInd/>
        <w:ind w:left="0" w:firstLine="0"/>
        <w:contextualSpacing/>
        <w:textAlignment w:val="auto"/>
        <w:rPr>
          <w:lang w:val="es-ES"/>
        </w:rPr>
      </w:pPr>
      <w:r w:rsidRPr="001D29F7">
        <w:rPr>
          <w:shd w:val="clear" w:color="auto" w:fill="FFFFFF"/>
          <w:lang w:val="es-ES"/>
        </w:rPr>
        <w:t>En conclusión, se torna imperativo realizar una aproximación desde la hermenéutica garantista, progresiva y de carácter conglobada para ampliar y precisar el contenido de la noción: “migrante”, la cual, desde mi perspectiva, debe entenderse como una categoría de contenido abierto no restrictivo y que incorpora a toda persona humana que, independientemente de la razón, causa, motivo o circunstancia, abandona su país de origen o nacionalidad, donde mantiene su residencia habitual, de forma temporal o permanente, con independencia de su estatus legal. Esta caracterización no implica que se homoge</w:t>
      </w:r>
      <w:r>
        <w:rPr>
          <w:shd w:val="clear" w:color="auto" w:fill="FFFFFF"/>
          <w:lang w:val="es-ES"/>
        </w:rPr>
        <w:t>n</w:t>
      </w:r>
      <w:r w:rsidRPr="001D29F7">
        <w:rPr>
          <w:shd w:val="clear" w:color="auto" w:fill="FFFFFF"/>
          <w:lang w:val="es-ES"/>
        </w:rPr>
        <w:t>iza</w:t>
      </w:r>
      <w:r>
        <w:rPr>
          <w:shd w:val="clear" w:color="auto" w:fill="FFFFFF"/>
          <w:lang w:val="es-ES"/>
        </w:rPr>
        <w:t>n</w:t>
      </w:r>
      <w:r w:rsidRPr="001D29F7">
        <w:rPr>
          <w:shd w:val="clear" w:color="auto" w:fill="FFFFFF"/>
          <w:lang w:val="es-ES"/>
        </w:rPr>
        <w:t xml:space="preserve"> los deberes y obligaciones de los estados frente a </w:t>
      </w:r>
      <w:r>
        <w:rPr>
          <w:shd w:val="clear" w:color="auto" w:fill="FFFFFF"/>
          <w:lang w:val="es-ES"/>
        </w:rPr>
        <w:t>las personas</w:t>
      </w:r>
      <w:r w:rsidRPr="001D29F7">
        <w:rPr>
          <w:shd w:val="clear" w:color="auto" w:fill="FFFFFF"/>
          <w:lang w:val="es-ES"/>
        </w:rPr>
        <w:t xml:space="preserve"> migrantes, puesto que, y conforme lo ha precisado esta Corte, es permisible y razonable que el Estado otorgue un trato diferenciado y adaptado a las distintas situaciones de vulnerabilidad en que se encuentre la persona migrante, siempre que se acredite y justifique debidamente que ese trato sea razonable, objetivo, proporcional y no lesione los derechos humanos</w:t>
      </w:r>
      <w:r w:rsidRPr="001D29F7">
        <w:rPr>
          <w:rStyle w:val="Refdenotaalpie"/>
          <w:shd w:val="clear" w:color="auto" w:fill="FFFFFF"/>
          <w:lang w:val="es-ES"/>
        </w:rPr>
        <w:footnoteReference w:id="193"/>
      </w:r>
      <w:r w:rsidRPr="001D29F7">
        <w:rPr>
          <w:shd w:val="clear" w:color="auto" w:fill="FFFFFF"/>
          <w:lang w:val="es-ES"/>
        </w:rPr>
        <w:t>.</w:t>
      </w:r>
      <w:r>
        <w:rPr>
          <w:shd w:val="clear" w:color="auto" w:fill="FFFFFF"/>
          <w:lang w:val="es-ES"/>
        </w:rPr>
        <w:t xml:space="preserve"> </w:t>
      </w:r>
      <w:r w:rsidRPr="001D29F7">
        <w:rPr>
          <w:shd w:val="clear" w:color="auto" w:fill="FFFFFF"/>
          <w:lang w:val="es-ES"/>
        </w:rPr>
        <w:t xml:space="preserve"> Como un resultado directo que viene de la mano de esta caracterización amplia de la noción de “migrante”, se desprende</w:t>
      </w:r>
      <w:r>
        <w:rPr>
          <w:shd w:val="clear" w:color="auto" w:fill="FFFFFF"/>
          <w:lang w:val="es-ES"/>
        </w:rPr>
        <w:t xml:space="preserve"> además </w:t>
      </w:r>
      <w:r w:rsidRPr="001D29F7">
        <w:rPr>
          <w:shd w:val="clear" w:color="auto" w:fill="FFFFFF"/>
          <w:lang w:val="es-ES"/>
        </w:rPr>
        <w:t xml:space="preserve">la ineludible </w:t>
      </w:r>
      <w:r>
        <w:rPr>
          <w:shd w:val="clear" w:color="auto" w:fill="FFFFFF"/>
          <w:lang w:val="es-ES"/>
        </w:rPr>
        <w:t xml:space="preserve">obligación </w:t>
      </w:r>
      <w:r w:rsidRPr="001D29F7">
        <w:rPr>
          <w:shd w:val="clear" w:color="auto" w:fill="FFFFFF"/>
          <w:lang w:val="es-ES"/>
        </w:rPr>
        <w:t xml:space="preserve">que los Estados tienen para prevenir y garantizar los derechos humanos de sus connacionales, más allá de sus límites territoriales, independientemente de su situación y estatus legal, ejerciendo de manera eficaz los principios universales de la cooperación y reciprocidad internacional a la luz del multilateralismo y un enfoque de interseccionalidad, en concordancia con los estándares que dimanan del Derecho Internacional de los Derechos Humanos. </w:t>
      </w:r>
    </w:p>
    <w:p w14:paraId="2201518C" w14:textId="77777777" w:rsidR="0084184A" w:rsidRPr="001D29F7" w:rsidRDefault="0084184A" w:rsidP="0084184A">
      <w:pPr>
        <w:pStyle w:val="Prrafodelista"/>
        <w:ind w:left="0"/>
        <w:rPr>
          <w:lang w:val="es-ES"/>
        </w:rPr>
      </w:pPr>
    </w:p>
    <w:p w14:paraId="27A22F31" w14:textId="77777777" w:rsidR="0084184A" w:rsidRPr="009D0AD7" w:rsidRDefault="0084184A" w:rsidP="0084184A">
      <w:pPr>
        <w:pStyle w:val="Prrafodelista"/>
        <w:ind w:left="0"/>
      </w:pPr>
    </w:p>
    <w:p w14:paraId="13F941A5" w14:textId="77777777" w:rsidR="0084184A" w:rsidRPr="009D0AD7" w:rsidRDefault="0084184A" w:rsidP="0084184A">
      <w:pPr>
        <w:pStyle w:val="Prrafodelista"/>
        <w:ind w:left="0"/>
      </w:pPr>
    </w:p>
    <w:p w14:paraId="5C581E6C" w14:textId="77777777" w:rsidR="0084184A" w:rsidRPr="009D0AD7" w:rsidRDefault="0084184A" w:rsidP="0084184A">
      <w:pPr>
        <w:rPr>
          <w:highlight w:val="yellow"/>
        </w:rPr>
      </w:pPr>
    </w:p>
    <w:p w14:paraId="3B93FA03" w14:textId="77777777" w:rsidR="0084184A" w:rsidRPr="009D0AD7" w:rsidRDefault="0084184A" w:rsidP="0084184A">
      <w:pPr>
        <w:rPr>
          <w:highlight w:val="yellow"/>
        </w:rPr>
      </w:pPr>
    </w:p>
    <w:p w14:paraId="36EB2AB2" w14:textId="77777777" w:rsidR="0084184A" w:rsidRPr="009D0AD7" w:rsidRDefault="0084184A" w:rsidP="0084184A">
      <w:pPr>
        <w:rPr>
          <w:highlight w:val="yellow"/>
        </w:rPr>
      </w:pPr>
    </w:p>
    <w:p w14:paraId="76D1ADD3" w14:textId="77777777" w:rsidR="0084184A" w:rsidRPr="009D0AD7" w:rsidRDefault="0084184A" w:rsidP="0084184A">
      <w:pPr>
        <w:ind w:left="4248"/>
        <w:rPr>
          <w:rFonts w:cs="Arial"/>
        </w:rPr>
      </w:pPr>
    </w:p>
    <w:p w14:paraId="65067C93" w14:textId="77777777" w:rsidR="0084184A" w:rsidRPr="001D29F7" w:rsidRDefault="0084184A" w:rsidP="0084184A">
      <w:pPr>
        <w:ind w:left="4248"/>
        <w:rPr>
          <w:rFonts w:cs="Arial"/>
        </w:rPr>
      </w:pPr>
      <w:r w:rsidRPr="001D29F7">
        <w:rPr>
          <w:rFonts w:cs="Arial"/>
        </w:rPr>
        <w:t>L. Patricio Pazmiño Freire</w:t>
      </w:r>
    </w:p>
    <w:p w14:paraId="44E5F63C" w14:textId="77777777" w:rsidR="0084184A" w:rsidRPr="001D29F7" w:rsidRDefault="0084184A" w:rsidP="0084184A">
      <w:pPr>
        <w:ind w:left="4248"/>
        <w:rPr>
          <w:rFonts w:cs="Arial"/>
        </w:rPr>
      </w:pPr>
      <w:r w:rsidRPr="001D29F7">
        <w:rPr>
          <w:rFonts w:cs="Arial"/>
        </w:rPr>
        <w:t>Juez</w:t>
      </w:r>
    </w:p>
    <w:p w14:paraId="452425AD" w14:textId="77777777" w:rsidR="0084184A" w:rsidRDefault="0084184A" w:rsidP="0084184A">
      <w:pPr>
        <w:rPr>
          <w:rFonts w:cs="Arial"/>
        </w:rPr>
      </w:pPr>
    </w:p>
    <w:p w14:paraId="16C63B70" w14:textId="77777777" w:rsidR="0084184A" w:rsidRPr="001D29F7" w:rsidRDefault="0084184A" w:rsidP="0084184A">
      <w:pPr>
        <w:rPr>
          <w:rFonts w:cs="Arial"/>
        </w:rPr>
      </w:pPr>
      <w:r w:rsidRPr="001D29F7">
        <w:rPr>
          <w:rFonts w:cs="Arial"/>
        </w:rPr>
        <w:t>Pablo Saavedra Alessandri</w:t>
      </w:r>
    </w:p>
    <w:p w14:paraId="4DE2E624" w14:textId="77777777" w:rsidR="0084184A" w:rsidRPr="001D29F7" w:rsidRDefault="0084184A" w:rsidP="0084184A">
      <w:pPr>
        <w:rPr>
          <w:lang w:val="en-US"/>
        </w:rPr>
      </w:pPr>
      <w:r>
        <w:rPr>
          <w:rFonts w:cs="Arial"/>
        </w:rPr>
        <w:t xml:space="preserve">   </w:t>
      </w:r>
      <w:r w:rsidRPr="001D29F7">
        <w:rPr>
          <w:rFonts w:cs="Arial"/>
        </w:rPr>
        <w:t>Secretario</w:t>
      </w:r>
    </w:p>
    <w:p w14:paraId="141B95C8" w14:textId="03B97AE7" w:rsidR="005657C7" w:rsidRDefault="005657C7" w:rsidP="00AF1CE0">
      <w:pPr>
        <w:rPr>
          <w:rFonts w:cs="Arial"/>
        </w:rPr>
        <w:sectPr w:rsidR="005657C7" w:rsidSect="0084184A">
          <w:footnotePr>
            <w:numRestart w:val="eachSect"/>
          </w:footnotePr>
          <w:pgSz w:w="11900" w:h="16840"/>
          <w:pgMar w:top="1417" w:right="1701" w:bottom="1417" w:left="1701" w:header="708" w:footer="708" w:gutter="0"/>
          <w:pgNumType w:start="1"/>
          <w:cols w:space="708"/>
          <w:docGrid w:linePitch="360"/>
        </w:sectPr>
      </w:pPr>
    </w:p>
    <w:p w14:paraId="014DDDB2" w14:textId="77777777" w:rsidR="005657C7" w:rsidRPr="000746A8" w:rsidRDefault="005657C7" w:rsidP="005657C7">
      <w:pPr>
        <w:tabs>
          <w:tab w:val="left" w:pos="720"/>
        </w:tabs>
        <w:spacing w:line="20" w:lineRule="atLeast"/>
        <w:ind w:right="-93"/>
        <w:contextualSpacing/>
        <w:jc w:val="center"/>
        <w:rPr>
          <w:rFonts w:cs="Verdana"/>
          <w:lang w:val="es-ES"/>
        </w:rPr>
      </w:pPr>
      <w:r w:rsidRPr="003302FC">
        <w:rPr>
          <w:b/>
          <w:color w:val="000000" w:themeColor="text1"/>
          <w:lang w:val="es-DO"/>
        </w:rPr>
        <w:t xml:space="preserve">VOTO CONCURRENTE </w:t>
      </w:r>
      <w:r>
        <w:rPr>
          <w:b/>
          <w:color w:val="000000" w:themeColor="text1"/>
          <w:lang w:val="es-DO"/>
        </w:rPr>
        <w:t>DEL</w:t>
      </w:r>
    </w:p>
    <w:p w14:paraId="233EA672" w14:textId="77777777" w:rsidR="005657C7" w:rsidRDefault="005657C7" w:rsidP="005657C7">
      <w:pPr>
        <w:jc w:val="center"/>
        <w:rPr>
          <w:b/>
          <w:color w:val="000000" w:themeColor="text1"/>
          <w:lang w:val="es-DO"/>
        </w:rPr>
      </w:pPr>
      <w:r w:rsidRPr="003302FC">
        <w:rPr>
          <w:b/>
          <w:color w:val="000000" w:themeColor="text1"/>
          <w:lang w:val="es-DO"/>
        </w:rPr>
        <w:t xml:space="preserve">JUEZ EUGENIO RAÚL ZAFFARONI </w:t>
      </w:r>
    </w:p>
    <w:p w14:paraId="35842068" w14:textId="77777777" w:rsidR="005657C7" w:rsidRDefault="005657C7" w:rsidP="005657C7">
      <w:pPr>
        <w:jc w:val="center"/>
        <w:rPr>
          <w:b/>
          <w:color w:val="000000" w:themeColor="text1"/>
          <w:lang w:val="es-DO"/>
        </w:rPr>
      </w:pPr>
    </w:p>
    <w:p w14:paraId="28DC1594" w14:textId="77777777" w:rsidR="005657C7" w:rsidRDefault="005657C7" w:rsidP="005657C7">
      <w:pPr>
        <w:jc w:val="center"/>
        <w:rPr>
          <w:b/>
        </w:rPr>
      </w:pPr>
      <w:r>
        <w:rPr>
          <w:b/>
        </w:rPr>
        <w:t>CASO ROCHE AZAÑA Y OTROS VS. NICARAGUA</w:t>
      </w:r>
    </w:p>
    <w:p w14:paraId="1E349E31" w14:textId="77777777" w:rsidR="005657C7" w:rsidRDefault="005657C7" w:rsidP="005657C7">
      <w:pPr>
        <w:jc w:val="center"/>
        <w:rPr>
          <w:b/>
        </w:rPr>
      </w:pPr>
    </w:p>
    <w:p w14:paraId="63A585F4" w14:textId="77777777" w:rsidR="005657C7" w:rsidRDefault="005657C7" w:rsidP="005657C7">
      <w:pPr>
        <w:jc w:val="center"/>
        <w:rPr>
          <w:b/>
        </w:rPr>
      </w:pPr>
      <w:r>
        <w:rPr>
          <w:b/>
        </w:rPr>
        <w:t>SENTENCIA DE 3 DE JUNIO DE 2020</w:t>
      </w:r>
    </w:p>
    <w:p w14:paraId="6010DEC5" w14:textId="77777777" w:rsidR="005657C7" w:rsidRPr="0046086B" w:rsidRDefault="005657C7" w:rsidP="005657C7">
      <w:pPr>
        <w:jc w:val="center"/>
        <w:rPr>
          <w:b/>
          <w:color w:val="000000" w:themeColor="text1"/>
        </w:rPr>
      </w:pPr>
    </w:p>
    <w:p w14:paraId="023F1272" w14:textId="77777777" w:rsidR="005657C7" w:rsidRDefault="005657C7" w:rsidP="005657C7">
      <w:pPr>
        <w:rPr>
          <w:rFonts w:ascii="Comic Sans MS" w:hAnsi="Comic Sans MS"/>
          <w:sz w:val="32"/>
          <w:szCs w:val="32"/>
          <w:lang w:eastAsia="es-AR"/>
        </w:rPr>
      </w:pPr>
    </w:p>
    <w:p w14:paraId="48B361F3" w14:textId="77777777" w:rsidR="005657C7" w:rsidRPr="009363A8" w:rsidRDefault="005657C7" w:rsidP="005657C7">
      <w:pPr>
        <w:rPr>
          <w:rFonts w:ascii="Comic Sans MS" w:hAnsi="Comic Sans MS"/>
          <w:sz w:val="32"/>
          <w:szCs w:val="32"/>
          <w:lang w:eastAsia="es-AR"/>
        </w:rPr>
      </w:pPr>
      <w:r>
        <w:rPr>
          <w:rFonts w:ascii="Comic Sans MS" w:hAnsi="Comic Sans MS"/>
          <w:sz w:val="32"/>
          <w:szCs w:val="32"/>
          <w:lang w:eastAsia="es-AR"/>
        </w:rPr>
        <w:tab/>
      </w:r>
      <w:r w:rsidRPr="009363A8">
        <w:rPr>
          <w:rFonts w:ascii="Comic Sans MS" w:hAnsi="Comic Sans MS"/>
          <w:sz w:val="32"/>
          <w:szCs w:val="32"/>
          <w:lang w:eastAsia="es-AR"/>
        </w:rPr>
        <w:t xml:space="preserve">Entiendo que en el presente caso corresponde recalcar que la responsabilidad internacional del Estado en cuanto a la violación del Derecho Humano a la vida, no surge del mero resultado de las acciones de sus agentes en la supuesta aplicación de la fuerza de las armas de guerra suministradas por el propio Estado, sino de la posterior y arbitraria impunidad de éstos. </w:t>
      </w:r>
    </w:p>
    <w:p w14:paraId="24C18C83" w14:textId="77777777" w:rsidR="005657C7" w:rsidRPr="009363A8" w:rsidRDefault="005657C7" w:rsidP="005657C7">
      <w:pPr>
        <w:ind w:firstLine="708"/>
        <w:rPr>
          <w:rFonts w:ascii="Comic Sans MS" w:hAnsi="Comic Sans MS"/>
          <w:sz w:val="32"/>
          <w:szCs w:val="32"/>
          <w:lang w:eastAsia="es-AR"/>
        </w:rPr>
      </w:pPr>
      <w:r w:rsidRPr="009363A8">
        <w:rPr>
          <w:rFonts w:ascii="Comic Sans MS" w:hAnsi="Comic Sans MS"/>
          <w:sz w:val="32"/>
          <w:szCs w:val="32"/>
          <w:lang w:eastAsia="es-AR"/>
        </w:rPr>
        <w:t xml:space="preserve">En efecto, un resultado de impunidad podría haber tenido lugar en un proceso regular y por efecto de alguna eximente, como por ejemplo, fundada en la existencia de un brote psicótico o cualquier otra grave perturbación de la consciencia de un agente armado estatal -imprevisible o muy difícil de prever- y que, mediando las correspondientes reparaciones civiles, no sería susceptible de generar ningún injusto desde la perspectiva del derecho internacional de los Derechos Humanos, lo que obviamente, no es el caso presente. Por completo diferente es este supuesto de cualquier otro de impunidad arbitraria o carente de explicación razonable. </w:t>
      </w:r>
    </w:p>
    <w:p w14:paraId="303830EB" w14:textId="77777777" w:rsidR="005657C7" w:rsidRPr="009363A8" w:rsidRDefault="005657C7" w:rsidP="005657C7">
      <w:pPr>
        <w:ind w:firstLine="708"/>
        <w:rPr>
          <w:rFonts w:ascii="Comic Sans MS" w:hAnsi="Comic Sans MS"/>
          <w:sz w:val="32"/>
          <w:szCs w:val="32"/>
          <w:lang w:eastAsia="es-AR"/>
        </w:rPr>
      </w:pPr>
      <w:r w:rsidRPr="009363A8">
        <w:rPr>
          <w:rFonts w:ascii="Comic Sans MS" w:hAnsi="Comic Sans MS"/>
          <w:sz w:val="32"/>
          <w:szCs w:val="32"/>
          <w:lang w:eastAsia="es-AR"/>
        </w:rPr>
        <w:t xml:space="preserve">Es claro que es primario deber internacional de todo Estado miembro de la CADH garantizar la vida de sus habitantes, sean permanentes o transeúntes, nacionales o extranjeros, documentados o indocumentados, o sea, de toda persona que se encuentre en su territorio y, por ende y conforme al principio de territorialidad, se le impone aplicar su ley penal a todo sujeto activo que incurra en la conducta de dar muerte a otro, es decir, de investigar y en su caso sancionar todo delito de homicidio doloso o culposo, sin que le sea permitido proceder a una selección arbitraria de casos, en especial cuando se trata de alta probabilidad de responsabilidad de sus propios funcionarios. </w:t>
      </w:r>
    </w:p>
    <w:p w14:paraId="76B96B1A" w14:textId="77777777" w:rsidR="005657C7" w:rsidRPr="009363A8" w:rsidRDefault="005657C7" w:rsidP="005657C7">
      <w:pPr>
        <w:ind w:firstLine="708"/>
        <w:rPr>
          <w:rFonts w:ascii="Comic Sans MS" w:hAnsi="Comic Sans MS"/>
          <w:sz w:val="32"/>
          <w:szCs w:val="32"/>
          <w:lang w:eastAsia="es-AR"/>
        </w:rPr>
      </w:pPr>
      <w:r w:rsidRPr="009363A8">
        <w:rPr>
          <w:rFonts w:ascii="Comic Sans MS" w:hAnsi="Comic Sans MS"/>
          <w:sz w:val="32"/>
          <w:szCs w:val="32"/>
          <w:lang w:eastAsia="es-AR"/>
        </w:rPr>
        <w:t>Como se ha decidido en reiteradas ocasiones por esta Corte, es deber del Estado agotar los recursos para investigar y sancionar los delitos cometidos en su territorio y que afectan bienes jurídicos que, desde la perspectiva del derecho internacional de los Derechos Humanos, sean también derechos cuya protección le impone la CADH.</w:t>
      </w:r>
    </w:p>
    <w:p w14:paraId="424ECC71" w14:textId="77777777" w:rsidR="005657C7" w:rsidRPr="009363A8" w:rsidRDefault="005657C7" w:rsidP="005657C7">
      <w:pPr>
        <w:ind w:firstLine="708"/>
        <w:rPr>
          <w:rFonts w:ascii="Comic Sans MS" w:hAnsi="Comic Sans MS"/>
          <w:sz w:val="32"/>
          <w:szCs w:val="32"/>
          <w:lang w:eastAsia="es-AR"/>
        </w:rPr>
      </w:pPr>
      <w:r w:rsidRPr="009363A8">
        <w:rPr>
          <w:rFonts w:ascii="Comic Sans MS" w:hAnsi="Comic Sans MS"/>
          <w:sz w:val="32"/>
          <w:szCs w:val="32"/>
          <w:lang w:eastAsia="es-AR"/>
        </w:rPr>
        <w:t xml:space="preserve">Cada Estado, en su derecho penal –derecho interno- exige que todo delito ofenda por lesión o por peligro un bien jurídico –conforme al principio de lesividad u ofensividad-, pero desde la perspectiva internacional, sólo la ofensa a algunos de estos bienes jurídicos exige el ejercicio del poder punitivo del Estado. </w:t>
      </w:r>
    </w:p>
    <w:p w14:paraId="6405D89A" w14:textId="77777777" w:rsidR="005657C7" w:rsidRPr="009363A8" w:rsidRDefault="005657C7" w:rsidP="005657C7">
      <w:pPr>
        <w:ind w:firstLine="708"/>
        <w:rPr>
          <w:rFonts w:ascii="Comic Sans MS" w:hAnsi="Comic Sans MS"/>
          <w:sz w:val="32"/>
          <w:szCs w:val="32"/>
          <w:lang w:eastAsia="es-AR"/>
        </w:rPr>
      </w:pPr>
      <w:r w:rsidRPr="009363A8">
        <w:rPr>
          <w:rFonts w:ascii="Comic Sans MS" w:hAnsi="Comic Sans MS"/>
          <w:sz w:val="32"/>
          <w:szCs w:val="32"/>
          <w:lang w:eastAsia="es-AR"/>
        </w:rPr>
        <w:t xml:space="preserve">Así, sería muy difícil considerar que la impunidad de un delito contra la tranquilidad pública o de un libramiento de cheque sin provisión de fondos, pudiese generar responsabilidad internacional del Estado. Pero es obvio que algunos bienes jurídicos del derecho interno son también un Derecho Humano que internacionalmente el Estado tiene la obligación de garantizar, lo que, en caso de lesión, le genera el deber internacional de investigar y en su caso penar. </w:t>
      </w:r>
    </w:p>
    <w:p w14:paraId="4F5365B5" w14:textId="77777777" w:rsidR="005657C7" w:rsidRPr="009363A8" w:rsidRDefault="005657C7" w:rsidP="005657C7">
      <w:pPr>
        <w:ind w:firstLine="708"/>
        <w:rPr>
          <w:rFonts w:ascii="Comic Sans MS" w:hAnsi="Comic Sans MS"/>
          <w:sz w:val="32"/>
          <w:szCs w:val="32"/>
          <w:lang w:eastAsia="es-AR"/>
        </w:rPr>
      </w:pPr>
      <w:r w:rsidRPr="009363A8">
        <w:rPr>
          <w:rFonts w:ascii="Comic Sans MS" w:hAnsi="Comic Sans MS"/>
          <w:sz w:val="32"/>
          <w:szCs w:val="32"/>
          <w:lang w:eastAsia="es-AR"/>
        </w:rPr>
        <w:t xml:space="preserve">En reiteradas ocasiones y no sólo respecto del derecho a la vida, sino de lesión a otros bienes jurídicos del derecho penal interno y a la vez objeto de tutela internacional como Derecho Humano, esta Corte se ha pronunciado de este modo para establecer la responsabilidad internacional del Estado, en particular en casos en que la impunidad recae sobre sujetos activos que son agentes del propio Estado. </w:t>
      </w:r>
    </w:p>
    <w:p w14:paraId="4D71C1D2" w14:textId="77777777" w:rsidR="005657C7" w:rsidRPr="009363A8" w:rsidRDefault="005657C7" w:rsidP="005657C7">
      <w:pPr>
        <w:ind w:firstLine="708"/>
        <w:rPr>
          <w:rFonts w:ascii="Comic Sans MS" w:hAnsi="Comic Sans MS"/>
          <w:bCs/>
          <w:sz w:val="32"/>
          <w:szCs w:val="32"/>
          <w:lang w:eastAsia="es-AR"/>
        </w:rPr>
      </w:pPr>
      <w:r w:rsidRPr="009363A8">
        <w:rPr>
          <w:rFonts w:ascii="Comic Sans MS" w:hAnsi="Comic Sans MS"/>
          <w:sz w:val="32"/>
          <w:szCs w:val="32"/>
          <w:lang w:eastAsia="es-AR"/>
        </w:rPr>
        <w:t xml:space="preserve">Así en el caso </w:t>
      </w:r>
      <w:r w:rsidRPr="009363A8">
        <w:rPr>
          <w:rFonts w:ascii="Comic Sans MS" w:hAnsi="Comic Sans MS"/>
          <w:bCs/>
          <w:i/>
          <w:iCs/>
          <w:sz w:val="32"/>
          <w:szCs w:val="32"/>
          <w:lang w:eastAsia="es-AR"/>
        </w:rPr>
        <w:t>Mujeres Víctimas de Tortura Sexual en Atenco Vs. México</w:t>
      </w:r>
      <w:r w:rsidRPr="009363A8">
        <w:rPr>
          <w:rFonts w:ascii="Comic Sans MS" w:hAnsi="Comic Sans MS"/>
          <w:bCs/>
          <w:sz w:val="32"/>
          <w:szCs w:val="32"/>
          <w:lang w:eastAsia="es-AR"/>
        </w:rPr>
        <w:t xml:space="preserve">. (Excepción Preliminar, Fondo, Reparaciones y Costas. Sentencia de 28 de noviembre de 2018. Serie C No. 371), incluso admitiendo que la impunidad hubiese tenido lugar respecto de conductas por negligencia o imprudencia. </w:t>
      </w:r>
    </w:p>
    <w:p w14:paraId="202572CD" w14:textId="77777777" w:rsidR="005657C7" w:rsidRPr="009363A8" w:rsidRDefault="005657C7" w:rsidP="005657C7">
      <w:pPr>
        <w:ind w:firstLine="708"/>
        <w:rPr>
          <w:rFonts w:ascii="Comic Sans MS" w:hAnsi="Comic Sans MS"/>
          <w:color w:val="000000"/>
          <w:sz w:val="32"/>
          <w:szCs w:val="32"/>
          <w:lang w:val="es-ES_tradnl" w:eastAsia="es-AR"/>
        </w:rPr>
      </w:pPr>
      <w:r w:rsidRPr="009363A8">
        <w:rPr>
          <w:rFonts w:ascii="Comic Sans MS" w:hAnsi="Comic Sans MS"/>
          <w:bCs/>
          <w:sz w:val="32"/>
          <w:szCs w:val="32"/>
          <w:lang w:eastAsia="es-AR"/>
        </w:rPr>
        <w:t xml:space="preserve">En el referido caso y respecto de la posible responsabilidad penal de sus agentes en la cadena de mandos, esta Corte ha dicho: </w:t>
      </w:r>
      <w:r w:rsidRPr="009363A8">
        <w:rPr>
          <w:rFonts w:ascii="Comic Sans MS" w:hAnsi="Comic Sans MS"/>
          <w:i/>
          <w:color w:val="000000"/>
          <w:sz w:val="32"/>
          <w:szCs w:val="32"/>
          <w:lang w:val="es-ES_tradnl" w:eastAsia="es-AR"/>
        </w:rPr>
        <w:t xml:space="preserve">Esta Corte no es un tribunal penal, pero no puede pasar por alto que la omisión del Estado respecto de la cadena de mando hubiese debido investigarse en función de las noticias que hubiesen llegado a las autoridades superiores, no sólo en el caso en que eventualmente se hubiese hecho caso omiso de éstas y se hubiese aceptado la posibilidad del </w:t>
      </w:r>
      <w:r w:rsidRPr="009363A8">
        <w:rPr>
          <w:rFonts w:ascii="Comic Sans MS" w:hAnsi="Comic Sans MS"/>
          <w:i/>
          <w:sz w:val="32"/>
          <w:szCs w:val="32"/>
          <w:lang w:val="es-ES_tradnl" w:eastAsia="es-AR"/>
        </w:rPr>
        <w:t xml:space="preserve">resultado (dolo eventual), </w:t>
      </w:r>
      <w:r w:rsidRPr="009363A8">
        <w:rPr>
          <w:rFonts w:ascii="Comic Sans MS" w:hAnsi="Comic Sans MS"/>
          <w:i/>
          <w:color w:val="000000"/>
          <w:sz w:val="32"/>
          <w:szCs w:val="32"/>
          <w:lang w:val="es-ES_tradnl" w:eastAsia="es-AR"/>
        </w:rPr>
        <w:t>sino también ante la posibilidad de que éstas se hubiesen subestimado rechazando la posibilidad de ese resultado (culpa con representación). Por otra parte, esta última variable de responsabilidad penal no podía descartarse por el Estado, puesto que, dadas las características de las agresiones sexuales, que no fueron cometidas por un individuo aislado, sino en grupo, resulta manifiesto que las fuerzas de seguridad que operaron en el operativo carecían del más elemental y debido entrenamiento, lo que en cualquier policía debidamente organizada y disciplinada jamás hubiese permitido la comisión de tan aberrantes delitos por parte de una pluralidad de sus agentes.</w:t>
      </w:r>
    </w:p>
    <w:p w14:paraId="57B1F052" w14:textId="77777777" w:rsidR="005657C7" w:rsidRPr="009363A8" w:rsidRDefault="005657C7" w:rsidP="005657C7">
      <w:pPr>
        <w:ind w:firstLine="708"/>
        <w:rPr>
          <w:rFonts w:ascii="Comic Sans MS" w:hAnsi="Comic Sans MS"/>
          <w:sz w:val="32"/>
          <w:szCs w:val="32"/>
          <w:lang w:eastAsia="es-AR"/>
        </w:rPr>
      </w:pPr>
      <w:r w:rsidRPr="009363A8">
        <w:rPr>
          <w:rFonts w:ascii="Comic Sans MS" w:hAnsi="Comic Sans MS"/>
          <w:sz w:val="32"/>
          <w:szCs w:val="32"/>
          <w:lang w:eastAsia="es-AR"/>
        </w:rPr>
        <w:t xml:space="preserve">La responsabilidad internacional del Estado no surge de la mera producción de resultados, por graves que fuesen, y tampoco necesariamente de la comisión de los delitos, sino de la impunidad de éstos, cuando es arbitrariamente selectiva y afectan bienes jurídicos internos pero que también son Derechos Humanos que el Estado está obligado internacionalmente a garantizar. </w:t>
      </w:r>
    </w:p>
    <w:p w14:paraId="605D6F6D" w14:textId="77777777" w:rsidR="005657C7" w:rsidRPr="009363A8" w:rsidRDefault="005657C7" w:rsidP="005657C7">
      <w:pPr>
        <w:ind w:firstLine="708"/>
        <w:rPr>
          <w:rFonts w:ascii="Comic Sans MS" w:hAnsi="Comic Sans MS"/>
          <w:sz w:val="32"/>
          <w:szCs w:val="32"/>
          <w:lang w:eastAsia="es-AR"/>
        </w:rPr>
      </w:pPr>
      <w:r w:rsidRPr="009363A8">
        <w:rPr>
          <w:rFonts w:ascii="Comic Sans MS" w:hAnsi="Comic Sans MS"/>
          <w:sz w:val="32"/>
          <w:szCs w:val="32"/>
          <w:lang w:eastAsia="es-AR"/>
        </w:rPr>
        <w:t xml:space="preserve">Los delitos bien pueden haber sido cometidos por personas no vinculadas al Estado, pero la lesión al derecho humano a la vida, desde la perspectiva internacional, consiste precisamente en la impunidad de estos delitos cuando el Estado haya tenido la posibilidad material de investigarlos y penarlos. </w:t>
      </w:r>
    </w:p>
    <w:p w14:paraId="7B88892D" w14:textId="77777777" w:rsidR="005657C7" w:rsidRPr="009363A8" w:rsidRDefault="005657C7" w:rsidP="005657C7">
      <w:pPr>
        <w:ind w:firstLine="708"/>
        <w:rPr>
          <w:rFonts w:ascii="Comic Sans MS" w:hAnsi="Comic Sans MS"/>
          <w:sz w:val="32"/>
          <w:szCs w:val="32"/>
          <w:lang w:eastAsia="es-AR"/>
        </w:rPr>
      </w:pPr>
      <w:r w:rsidRPr="009363A8">
        <w:rPr>
          <w:rFonts w:ascii="Comic Sans MS" w:hAnsi="Comic Sans MS"/>
          <w:sz w:val="32"/>
          <w:szCs w:val="32"/>
          <w:lang w:eastAsia="es-AR"/>
        </w:rPr>
        <w:t xml:space="preserve">A ese efecto, es obvio recalcar que es de toda lógica que, para que para que esta Corte haga responsable a un Estado por impunidad, o sea, por omisión de investigación y, en su caso, punición de una lesión de un Derecho Humano, debe establecerse en su sentencia la muy alta probabilidad de la existencia de una materia punible en el derecho interno de cada Estado. </w:t>
      </w:r>
    </w:p>
    <w:p w14:paraId="400388B8" w14:textId="77777777" w:rsidR="005657C7" w:rsidRPr="009363A8" w:rsidRDefault="005657C7" w:rsidP="005657C7">
      <w:pPr>
        <w:ind w:firstLine="708"/>
        <w:rPr>
          <w:rFonts w:ascii="Comic Sans MS" w:hAnsi="Comic Sans MS"/>
          <w:sz w:val="32"/>
          <w:szCs w:val="32"/>
          <w:lang w:eastAsia="es-AR"/>
        </w:rPr>
      </w:pPr>
      <w:r w:rsidRPr="009363A8">
        <w:rPr>
          <w:rFonts w:ascii="Comic Sans MS" w:hAnsi="Comic Sans MS"/>
          <w:sz w:val="32"/>
          <w:szCs w:val="32"/>
          <w:lang w:eastAsia="es-AR"/>
        </w:rPr>
        <w:t xml:space="preserve">Materia de punición no puede ser otra cosa que una conducta humana, habida cuenta de que los meros hechos de la naturaleza o del azar no son punibles. Por ende, debe establecer la muy alta probabilidad de la existencia de una “conducta punible” que, como es sabido, es la definición más formal y simple de delito. </w:t>
      </w:r>
    </w:p>
    <w:p w14:paraId="62A0E0F8" w14:textId="77777777" w:rsidR="005657C7" w:rsidRPr="009363A8" w:rsidRDefault="005657C7" w:rsidP="005657C7">
      <w:pPr>
        <w:ind w:firstLine="708"/>
        <w:rPr>
          <w:rFonts w:ascii="Comic Sans MS" w:hAnsi="Comic Sans MS"/>
          <w:color w:val="000000"/>
          <w:sz w:val="32"/>
          <w:szCs w:val="32"/>
          <w:lang w:val="es-ES_tradnl" w:eastAsia="es-AR"/>
        </w:rPr>
      </w:pPr>
      <w:r w:rsidRPr="009363A8">
        <w:rPr>
          <w:rFonts w:ascii="Comic Sans MS" w:hAnsi="Comic Sans MS"/>
          <w:color w:val="000000"/>
          <w:sz w:val="32"/>
          <w:szCs w:val="32"/>
          <w:lang w:val="es-ES_tradnl" w:eastAsia="es-AR"/>
        </w:rPr>
        <w:t xml:space="preserve">En el presente caso, respecto de la impunidad que hace internacionalmente responsable al Estado, se plantea una situación mucho más clara que en el antes citado y en el que con meridiana claridad se expidió esta Corte. </w:t>
      </w:r>
    </w:p>
    <w:p w14:paraId="50E37A09" w14:textId="77777777" w:rsidR="005657C7" w:rsidRPr="009363A8" w:rsidRDefault="005657C7" w:rsidP="005657C7">
      <w:pPr>
        <w:ind w:firstLine="708"/>
        <w:rPr>
          <w:rFonts w:ascii="Comic Sans MS" w:hAnsi="Comic Sans MS"/>
          <w:color w:val="000000"/>
          <w:sz w:val="32"/>
          <w:szCs w:val="32"/>
          <w:lang w:val="es-ES_tradnl" w:eastAsia="es-AR"/>
        </w:rPr>
      </w:pPr>
      <w:r w:rsidRPr="009363A8">
        <w:rPr>
          <w:rFonts w:ascii="Comic Sans MS" w:hAnsi="Comic Sans MS"/>
          <w:color w:val="000000"/>
          <w:sz w:val="32"/>
          <w:szCs w:val="32"/>
          <w:lang w:val="es-ES_tradnl" w:eastAsia="es-AR"/>
        </w:rPr>
        <w:t xml:space="preserve">En el caso </w:t>
      </w:r>
      <w:r w:rsidRPr="009363A8">
        <w:rPr>
          <w:rFonts w:ascii="Comic Sans MS" w:hAnsi="Comic Sans MS"/>
          <w:i/>
          <w:color w:val="000000"/>
          <w:sz w:val="32"/>
          <w:szCs w:val="32"/>
          <w:lang w:val="es-ES_tradnl" w:eastAsia="es-AR"/>
        </w:rPr>
        <w:t>sub examine</w:t>
      </w:r>
      <w:r w:rsidRPr="009363A8">
        <w:rPr>
          <w:rFonts w:ascii="Comic Sans MS" w:hAnsi="Comic Sans MS"/>
          <w:color w:val="000000"/>
          <w:sz w:val="32"/>
          <w:szCs w:val="32"/>
          <w:lang w:val="es-ES_tradnl" w:eastAsia="es-AR"/>
        </w:rPr>
        <w:t xml:space="preserve"> se trata de disparos efectuados con armas de guerra contra un vehículo en movimiento y a la altura de las personas que se hallaban en su interior. La alegación de que se ignoraba si había o no personas en su interior no resulta relevante para ningún juez racional conforme a los principios de la sana crítica. En cualquier supuesto, los agentes armados del Estado dispararon armas de guerra contra un vehículo que, al menos, sabían que no era un autómata, sino que estaba conducido por una persona, aunque no haya sufrido ésta las consecuencias de los disparos. El resultado de muerte y lesiones no se produjo por azar, sino que está causalmente vinculado a la acción de disparar. Aun suponiendo que por los vidrios polarizados no fuese visible la presencia de otros seres humanos en el vehículo, no por eso los agentes del Estado podían descartar la posibilidad de su presencia. </w:t>
      </w:r>
    </w:p>
    <w:p w14:paraId="41CD9358" w14:textId="77777777" w:rsidR="005657C7" w:rsidRPr="009363A8" w:rsidRDefault="005657C7" w:rsidP="005657C7">
      <w:pPr>
        <w:ind w:firstLine="708"/>
        <w:rPr>
          <w:rFonts w:ascii="Comic Sans MS" w:hAnsi="Comic Sans MS"/>
          <w:color w:val="000000"/>
          <w:sz w:val="32"/>
          <w:szCs w:val="32"/>
          <w:lang w:val="es-ES_tradnl" w:eastAsia="es-AR"/>
        </w:rPr>
      </w:pPr>
      <w:r w:rsidRPr="009363A8">
        <w:rPr>
          <w:rFonts w:ascii="Comic Sans MS" w:hAnsi="Comic Sans MS"/>
          <w:color w:val="000000"/>
          <w:sz w:val="32"/>
          <w:szCs w:val="32"/>
          <w:lang w:val="es-ES_tradnl" w:eastAsia="es-AR"/>
        </w:rPr>
        <w:t xml:space="preserve">En términos jurídicos, no discutidos doctrinaria y jurisprudencialmente en ninguno de nuestros países, se considera que el dolo de homicidio no se agota en la voluntad directa de matar, sino incluso cuando se actúa a costa y aceptando la posibilidad de producción del resultado, es decir, cuando se lo hace con dolo eventual, como puede suceder en casos de tortura, en que no se desea la muerte del torturado sino sólo su dolor, pero se actúa a costa de su producción. </w:t>
      </w:r>
    </w:p>
    <w:p w14:paraId="069A7C47" w14:textId="77777777" w:rsidR="005657C7" w:rsidRPr="009363A8" w:rsidRDefault="005657C7" w:rsidP="005657C7">
      <w:pPr>
        <w:ind w:firstLine="708"/>
        <w:rPr>
          <w:rFonts w:ascii="Comic Sans MS" w:hAnsi="Comic Sans MS"/>
          <w:color w:val="000000"/>
          <w:sz w:val="32"/>
          <w:szCs w:val="32"/>
          <w:lang w:val="es-ES_tradnl" w:eastAsia="es-AR"/>
        </w:rPr>
      </w:pPr>
      <w:r w:rsidRPr="009363A8">
        <w:rPr>
          <w:rFonts w:ascii="Comic Sans MS" w:hAnsi="Comic Sans MS"/>
          <w:color w:val="000000"/>
          <w:sz w:val="32"/>
          <w:szCs w:val="32"/>
          <w:lang w:val="es-ES_tradnl" w:eastAsia="es-AR"/>
        </w:rPr>
        <w:t xml:space="preserve">Pese a que todo indica que en el caso lo que con alta probabilidad ha quedado impune es un delito de homicidio y lesiones dolosas, incluso aceptando </w:t>
      </w:r>
      <w:r w:rsidRPr="009363A8">
        <w:rPr>
          <w:rFonts w:ascii="Comic Sans MS" w:hAnsi="Comic Sans MS"/>
          <w:i/>
          <w:color w:val="000000"/>
          <w:sz w:val="32"/>
          <w:szCs w:val="32"/>
          <w:lang w:val="es-ES_tradnl" w:eastAsia="es-AR"/>
        </w:rPr>
        <w:t xml:space="preserve">ad argumentationem </w:t>
      </w:r>
      <w:r w:rsidRPr="009363A8">
        <w:rPr>
          <w:rFonts w:ascii="Comic Sans MS" w:hAnsi="Comic Sans MS"/>
          <w:color w:val="000000"/>
          <w:sz w:val="32"/>
          <w:szCs w:val="32"/>
          <w:lang w:val="es-ES_tradnl" w:eastAsia="es-AR"/>
        </w:rPr>
        <w:t xml:space="preserve">la hipótesis de que no hubiese mediado dolo, no cabe la menor duda acerca de que la conducta de disparar a la altura de los pasajeros contra un vehículo sin saber si hay o no más personas en su interior, constituye una imprudencia temeraria que, al menos configura homicidio y lesiones culposas en cualquier legislación penal de nuestros países, hipótesis de responsabilidad culposa que específicamente se tuvo en cuenta también en la sentencia de esta Corte antes citada. </w:t>
      </w:r>
    </w:p>
    <w:p w14:paraId="6F9E5315" w14:textId="77777777" w:rsidR="005657C7" w:rsidRPr="009363A8" w:rsidRDefault="005657C7" w:rsidP="005657C7">
      <w:pPr>
        <w:ind w:firstLine="708"/>
        <w:rPr>
          <w:rFonts w:ascii="Comic Sans MS" w:hAnsi="Comic Sans MS"/>
          <w:color w:val="000000"/>
          <w:sz w:val="32"/>
          <w:szCs w:val="32"/>
          <w:lang w:val="es-ES_tradnl" w:eastAsia="es-AR"/>
        </w:rPr>
      </w:pPr>
      <w:r w:rsidRPr="009363A8">
        <w:rPr>
          <w:rFonts w:ascii="Comic Sans MS" w:hAnsi="Comic Sans MS"/>
          <w:color w:val="000000"/>
          <w:sz w:val="32"/>
          <w:szCs w:val="32"/>
          <w:lang w:val="es-ES_tradnl" w:eastAsia="es-AR"/>
        </w:rPr>
        <w:t xml:space="preserve">Entiendo, en consecuencia, que la responsabilidad internacional del Estado surge aquí de omisión de investigar y en su caso sancionar a los autores del muy probable delito de homicidio y lesiones, dolosas o culposas, cometido por sus agentes en funciones, delitos que lesionan el bien jurídico vida e integridad física, de los que, conforme a la CADH no puede ser privada arbitrariamente ninguna persona. </w:t>
      </w:r>
    </w:p>
    <w:p w14:paraId="27E63BAD" w14:textId="77777777" w:rsidR="005657C7" w:rsidRPr="009363A8" w:rsidRDefault="005657C7" w:rsidP="005657C7">
      <w:pPr>
        <w:ind w:firstLine="708"/>
        <w:rPr>
          <w:rFonts w:ascii="Comic Sans MS" w:hAnsi="Comic Sans MS"/>
          <w:color w:val="000000"/>
          <w:sz w:val="32"/>
          <w:szCs w:val="32"/>
          <w:lang w:val="es-ES_tradnl" w:eastAsia="es-AR"/>
        </w:rPr>
      </w:pPr>
      <w:r w:rsidRPr="009363A8">
        <w:rPr>
          <w:rFonts w:ascii="Comic Sans MS" w:hAnsi="Comic Sans MS"/>
          <w:color w:val="000000"/>
          <w:sz w:val="32"/>
          <w:szCs w:val="32"/>
          <w:lang w:val="es-ES_tradnl" w:eastAsia="es-AR"/>
        </w:rPr>
        <w:t xml:space="preserve">Queda claro que esta Corte no condena ni exige la condena penal de los sujetos activos, sino que ante la </w:t>
      </w:r>
      <w:r w:rsidRPr="009363A8">
        <w:rPr>
          <w:rFonts w:ascii="Comic Sans MS" w:hAnsi="Comic Sans MS"/>
          <w:i/>
          <w:color w:val="000000"/>
          <w:sz w:val="32"/>
          <w:szCs w:val="32"/>
          <w:lang w:val="es-ES_tradnl" w:eastAsia="es-AR"/>
        </w:rPr>
        <w:t>notitia criminis</w:t>
      </w:r>
      <w:r w:rsidRPr="009363A8">
        <w:rPr>
          <w:rFonts w:ascii="Comic Sans MS" w:hAnsi="Comic Sans MS"/>
          <w:color w:val="000000"/>
          <w:sz w:val="32"/>
          <w:szCs w:val="32"/>
          <w:lang w:val="es-ES_tradnl" w:eastAsia="es-AR"/>
        </w:rPr>
        <w:t xml:space="preserve"> que consta en las actuaciones ante el Tribunal, éste requiere que se haya investigado y, sólo si correspondiese condenado, por lo que </w:t>
      </w:r>
      <w:r w:rsidRPr="009363A8">
        <w:rPr>
          <w:rFonts w:ascii="Comic Sans MS" w:hAnsi="Comic Sans MS"/>
          <w:i/>
          <w:color w:val="000000"/>
          <w:sz w:val="32"/>
          <w:szCs w:val="32"/>
          <w:lang w:val="es-ES_tradnl" w:eastAsia="es-AR"/>
        </w:rPr>
        <w:t>prima facie</w:t>
      </w:r>
      <w:r w:rsidRPr="009363A8">
        <w:rPr>
          <w:rFonts w:ascii="Comic Sans MS" w:hAnsi="Comic Sans MS"/>
          <w:color w:val="000000"/>
          <w:sz w:val="32"/>
          <w:szCs w:val="32"/>
          <w:lang w:val="es-ES_tradnl" w:eastAsia="es-AR"/>
        </w:rPr>
        <w:t xml:space="preserve"> ante esto estrados aparece como un posible delito. </w:t>
      </w:r>
    </w:p>
    <w:p w14:paraId="468C16D1" w14:textId="77777777" w:rsidR="005657C7" w:rsidRPr="009363A8" w:rsidRDefault="005657C7" w:rsidP="005657C7">
      <w:pPr>
        <w:ind w:firstLine="708"/>
        <w:rPr>
          <w:rFonts w:ascii="Comic Sans MS" w:hAnsi="Comic Sans MS"/>
          <w:color w:val="000000"/>
          <w:sz w:val="32"/>
          <w:szCs w:val="32"/>
          <w:lang w:val="es-ES_tradnl" w:eastAsia="es-AR"/>
        </w:rPr>
      </w:pPr>
      <w:r w:rsidRPr="009363A8">
        <w:rPr>
          <w:rFonts w:ascii="Comic Sans MS" w:hAnsi="Comic Sans MS"/>
          <w:color w:val="000000"/>
          <w:sz w:val="32"/>
          <w:szCs w:val="32"/>
          <w:lang w:val="es-ES_tradnl" w:eastAsia="es-AR"/>
        </w:rPr>
        <w:t xml:space="preserve">Bien puede suceder, entre otros supuestos, que los sujetos activos no fuesen condenados por haberse verificado en juicio, como en el antes mencionado ejemplo, supuestos de inimputabilidad que reconocen todas nuestras legislaciones vigentes. La Corte incurriría en una gravísima contradicción si impusiese a los Estados el deber de condenar en cualquier caso, puesto que condenar a un incapaz, sería a su vez una violación de Derechos Humanos. </w:t>
      </w:r>
    </w:p>
    <w:p w14:paraId="075427E5" w14:textId="77777777" w:rsidR="005657C7" w:rsidRPr="009363A8" w:rsidRDefault="005657C7" w:rsidP="005657C7">
      <w:pPr>
        <w:ind w:firstLine="708"/>
        <w:rPr>
          <w:rFonts w:ascii="Comic Sans MS" w:hAnsi="Comic Sans MS"/>
          <w:color w:val="000000"/>
          <w:sz w:val="32"/>
          <w:szCs w:val="32"/>
          <w:lang w:val="es-ES_tradnl" w:eastAsia="es-AR"/>
        </w:rPr>
      </w:pPr>
      <w:r w:rsidRPr="009363A8">
        <w:rPr>
          <w:rFonts w:ascii="Comic Sans MS" w:hAnsi="Comic Sans MS"/>
          <w:color w:val="000000"/>
          <w:sz w:val="32"/>
          <w:szCs w:val="32"/>
          <w:lang w:val="es-ES_tradnl" w:eastAsia="es-AR"/>
        </w:rPr>
        <w:t xml:space="preserve">En consecuencia, se limita a constatar la alta posibilidad de estar en presencia de un delito impune, constatación que en el caso </w:t>
      </w:r>
      <w:r w:rsidRPr="009363A8">
        <w:rPr>
          <w:rFonts w:ascii="Comic Sans MS" w:hAnsi="Comic Sans MS"/>
          <w:i/>
          <w:color w:val="000000"/>
          <w:sz w:val="32"/>
          <w:szCs w:val="32"/>
          <w:lang w:val="es-ES_tradnl" w:eastAsia="es-AR"/>
        </w:rPr>
        <w:t>sub judice</w:t>
      </w:r>
      <w:r w:rsidRPr="009363A8">
        <w:rPr>
          <w:rFonts w:ascii="Comic Sans MS" w:hAnsi="Comic Sans MS"/>
          <w:color w:val="000000"/>
          <w:sz w:val="32"/>
          <w:szCs w:val="32"/>
          <w:lang w:val="es-ES_tradnl" w:eastAsia="es-AR"/>
        </w:rPr>
        <w:t xml:space="preserve"> exige que se trate de una conducta que todas las legislaciones califican típicamente como homicidio cometida dolosa o culposamente. </w:t>
      </w:r>
    </w:p>
    <w:p w14:paraId="428B391C" w14:textId="77777777" w:rsidR="005657C7" w:rsidRPr="009363A8" w:rsidRDefault="005657C7" w:rsidP="005657C7">
      <w:pPr>
        <w:ind w:firstLine="708"/>
        <w:rPr>
          <w:rFonts w:ascii="Comic Sans MS" w:hAnsi="Comic Sans MS"/>
          <w:color w:val="000000"/>
          <w:sz w:val="32"/>
          <w:szCs w:val="32"/>
          <w:lang w:val="es-ES_tradnl" w:eastAsia="es-AR"/>
        </w:rPr>
      </w:pPr>
      <w:r w:rsidRPr="009363A8">
        <w:rPr>
          <w:rFonts w:ascii="Comic Sans MS" w:hAnsi="Comic Sans MS"/>
          <w:color w:val="000000"/>
          <w:sz w:val="32"/>
          <w:szCs w:val="32"/>
          <w:lang w:val="es-ES_tradnl" w:eastAsia="es-AR"/>
        </w:rPr>
        <w:t xml:space="preserve">Mal podría esta Corte, como se señala en la sentencia citada antes, entender que el Estado incurrió en una lesión al derecho a la vida por impunidad si ésta no correspondiese con alta probabilidad a un delito que hubiese debido ser penado por responder a dolo o culpa de sus agentes, puesto que de no precisar esta posibilidad, la Corte estaría admitiendo la eventual punición a título de la llamada “responsabilidad objetiva”, que es una forma de imputación que repugna a la dignidad humana y a la propia condición de la persona como ente con conciencia moral. </w:t>
      </w:r>
    </w:p>
    <w:p w14:paraId="721AB47F" w14:textId="77777777" w:rsidR="005657C7" w:rsidRPr="009363A8" w:rsidRDefault="005657C7" w:rsidP="005657C7">
      <w:pPr>
        <w:ind w:firstLine="708"/>
        <w:rPr>
          <w:rFonts w:ascii="Comic Sans MS" w:hAnsi="Comic Sans MS"/>
          <w:color w:val="000000"/>
          <w:sz w:val="32"/>
          <w:szCs w:val="32"/>
          <w:lang w:val="es-ES_tradnl" w:eastAsia="es-AR"/>
        </w:rPr>
      </w:pPr>
      <w:r w:rsidRPr="009363A8">
        <w:rPr>
          <w:rFonts w:ascii="Comic Sans MS" w:hAnsi="Comic Sans MS"/>
          <w:color w:val="000000"/>
          <w:sz w:val="32"/>
          <w:szCs w:val="32"/>
          <w:lang w:val="es-ES_tradnl" w:eastAsia="es-AR"/>
        </w:rPr>
        <w:t xml:space="preserve">Dicho de manera sintética: para responsabilizar al Estado por impunidad, ésta debe ser necesariamente la “impunidad de un delito”, que es lo único “punible”, y no hay delito que no sea doloso o culposo, no siendo suficiente tener por establecida una pura relación de causalidad con el resultado letal, dado que, conforme a la propia CADH, es inadmisible el puro </w:t>
      </w:r>
      <w:r w:rsidRPr="009363A8">
        <w:rPr>
          <w:rFonts w:ascii="Comic Sans MS" w:hAnsi="Comic Sans MS"/>
          <w:i/>
          <w:color w:val="000000"/>
          <w:sz w:val="32"/>
          <w:szCs w:val="32"/>
          <w:lang w:val="es-ES_tradnl" w:eastAsia="es-AR"/>
        </w:rPr>
        <w:t>versari in re illicita.</w:t>
      </w:r>
      <w:r w:rsidRPr="009363A8">
        <w:rPr>
          <w:rFonts w:ascii="Comic Sans MS" w:hAnsi="Comic Sans MS"/>
          <w:color w:val="000000"/>
          <w:sz w:val="32"/>
          <w:szCs w:val="32"/>
          <w:lang w:val="es-ES_tradnl" w:eastAsia="es-AR"/>
        </w:rPr>
        <w:t xml:space="preserve"> </w:t>
      </w:r>
    </w:p>
    <w:p w14:paraId="058B575D" w14:textId="77777777" w:rsidR="005657C7" w:rsidRPr="009363A8" w:rsidRDefault="005657C7" w:rsidP="005657C7">
      <w:pPr>
        <w:ind w:firstLine="708"/>
        <w:rPr>
          <w:rFonts w:ascii="Comic Sans MS" w:hAnsi="Comic Sans MS"/>
          <w:color w:val="000000"/>
          <w:sz w:val="32"/>
          <w:szCs w:val="32"/>
          <w:lang w:val="es-ES_tradnl" w:eastAsia="es-AR"/>
        </w:rPr>
      </w:pPr>
      <w:r w:rsidRPr="009363A8">
        <w:rPr>
          <w:rFonts w:ascii="Comic Sans MS" w:hAnsi="Comic Sans MS"/>
          <w:color w:val="000000"/>
          <w:sz w:val="32"/>
          <w:szCs w:val="32"/>
          <w:lang w:val="es-ES_tradnl" w:eastAsia="es-AR"/>
        </w:rPr>
        <w:t xml:space="preserve">En conclusión: sin considerar la presencia de dolo o culpa, no es posible desde el plano internacional hablar de “impunidad” como omisión violatoria de Derechos Humanos por parte de un Estado. </w:t>
      </w:r>
    </w:p>
    <w:p w14:paraId="4DA33B90" w14:textId="77777777" w:rsidR="005657C7" w:rsidRPr="009363A8" w:rsidRDefault="005657C7" w:rsidP="005657C7">
      <w:pPr>
        <w:ind w:firstLine="708"/>
        <w:rPr>
          <w:rFonts w:ascii="Comic Sans MS" w:hAnsi="Comic Sans MS"/>
          <w:color w:val="000000"/>
          <w:sz w:val="32"/>
          <w:szCs w:val="32"/>
          <w:lang w:val="es-ES_tradnl" w:eastAsia="es-AR"/>
        </w:rPr>
      </w:pPr>
      <w:r w:rsidRPr="009363A8">
        <w:rPr>
          <w:rFonts w:ascii="Comic Sans MS" w:hAnsi="Comic Sans MS"/>
          <w:color w:val="000000"/>
          <w:sz w:val="32"/>
          <w:szCs w:val="32"/>
          <w:lang w:val="es-ES_tradnl" w:eastAsia="es-AR"/>
        </w:rPr>
        <w:t xml:space="preserve">Las razones de la impunidad, sea por defectos de su sistema procesal al tiempo vigente, por irregular aplicación de éste o por cualquier otra razón que no fuese la imposibilidad material de hacer efectiva la punición, poco interesan al caso, puesto que, en definitiva, los sujetos activos de lo que con altísima probabilidad fue un homicidio doloso –y en el mejor de los casos culposo- quedaron impunes sin que se diese explicación razonable alguna de ello, es decir, que tuvo lugar una impunidad arbitraria. </w:t>
      </w:r>
    </w:p>
    <w:p w14:paraId="0A30E6AC" w14:textId="77777777" w:rsidR="005657C7" w:rsidRPr="009363A8" w:rsidRDefault="005657C7" w:rsidP="005657C7">
      <w:pPr>
        <w:ind w:firstLine="708"/>
        <w:rPr>
          <w:rFonts w:ascii="Comic Sans MS" w:hAnsi="Comic Sans MS"/>
          <w:color w:val="000000"/>
          <w:sz w:val="32"/>
          <w:szCs w:val="32"/>
          <w:lang w:val="es-ES_tradnl" w:eastAsia="es-AR"/>
        </w:rPr>
      </w:pPr>
      <w:r w:rsidRPr="009363A8">
        <w:rPr>
          <w:rFonts w:ascii="Comic Sans MS" w:hAnsi="Comic Sans MS"/>
          <w:color w:val="000000"/>
          <w:sz w:val="32"/>
          <w:szCs w:val="32"/>
          <w:lang w:val="es-ES_tradnl" w:eastAsia="es-AR"/>
        </w:rPr>
        <w:t xml:space="preserve">Para tener por acreditada la responsabilidad internacional del Estado en el presente caso, es suficiente con verificar que medió la alta probabilidad de comisión de un delito de homicidio y lesiones por parte de sus agentes, muy posiblemente doloso y en el mejor de los casos culposamente temerario, y que el Estado tuvo la posibilidad de sancionarlo y no lo hizo, sin dar razón suficiente de la impunidad. </w:t>
      </w:r>
    </w:p>
    <w:p w14:paraId="110E026B" w14:textId="77777777" w:rsidR="005657C7" w:rsidRPr="009363A8" w:rsidRDefault="005657C7" w:rsidP="005657C7">
      <w:pPr>
        <w:ind w:firstLine="708"/>
        <w:rPr>
          <w:rFonts w:ascii="Comic Sans MS" w:hAnsi="Comic Sans MS"/>
          <w:color w:val="000000"/>
          <w:sz w:val="32"/>
          <w:szCs w:val="32"/>
          <w:lang w:val="es-ES_tradnl" w:eastAsia="es-AR"/>
        </w:rPr>
      </w:pPr>
      <w:r w:rsidRPr="009363A8">
        <w:rPr>
          <w:rFonts w:ascii="Comic Sans MS" w:hAnsi="Comic Sans MS"/>
          <w:color w:val="000000"/>
          <w:sz w:val="32"/>
          <w:szCs w:val="32"/>
          <w:lang w:val="es-ES_tradnl" w:eastAsia="es-AR"/>
        </w:rPr>
        <w:t xml:space="preserve">A mi juicio esta es la impunidad que se señala en esta misma sentencia como violatoria del Derecho Humano a la vida y a la integridad física, que representa al mismo tiempo el incumplimiento estatal de la obligación impuesta por el derecho internacional de garantizar la vida de toda persona, al que se vincula el Estado en función de su condición de parte de la CADH. </w:t>
      </w:r>
    </w:p>
    <w:p w14:paraId="617F839C" w14:textId="77777777" w:rsidR="005657C7" w:rsidRPr="009363A8" w:rsidRDefault="005657C7" w:rsidP="005657C7">
      <w:pPr>
        <w:ind w:firstLine="708"/>
        <w:rPr>
          <w:rFonts w:ascii="Comic Sans MS" w:hAnsi="Comic Sans MS"/>
          <w:color w:val="000000"/>
          <w:sz w:val="32"/>
          <w:szCs w:val="32"/>
          <w:lang w:val="es-ES_tradnl" w:eastAsia="es-AR"/>
        </w:rPr>
      </w:pPr>
      <w:r w:rsidRPr="009363A8">
        <w:rPr>
          <w:rFonts w:ascii="Comic Sans MS" w:hAnsi="Comic Sans MS"/>
          <w:color w:val="000000"/>
          <w:sz w:val="32"/>
          <w:szCs w:val="32"/>
          <w:lang w:val="es-ES_tradnl" w:eastAsia="es-AR"/>
        </w:rPr>
        <w:t xml:space="preserve">Con estos fundamentos coincido en lo decidido respecto de la violación al Derecho Humano a la vida, tal como se señala en el correspondiente punto resolutivo de la presente sentencia. </w:t>
      </w:r>
    </w:p>
    <w:p w14:paraId="73E8CF1C" w14:textId="77777777" w:rsidR="005657C7" w:rsidRDefault="005657C7" w:rsidP="005657C7">
      <w:pPr>
        <w:ind w:firstLine="708"/>
        <w:rPr>
          <w:rFonts w:ascii="Comic Sans MS" w:hAnsi="Comic Sans MS"/>
          <w:color w:val="000000"/>
          <w:sz w:val="28"/>
          <w:szCs w:val="28"/>
          <w:lang w:val="es-ES_tradnl" w:eastAsia="es-AR"/>
        </w:rPr>
      </w:pPr>
      <w:r w:rsidRPr="009363A8">
        <w:rPr>
          <w:rFonts w:ascii="Comic Sans MS" w:hAnsi="Comic Sans MS"/>
          <w:color w:val="000000"/>
          <w:sz w:val="32"/>
          <w:szCs w:val="32"/>
          <w:lang w:val="es-ES_tradnl" w:eastAsia="es-AR"/>
        </w:rPr>
        <w:t xml:space="preserve">Así lo voto. </w:t>
      </w:r>
    </w:p>
    <w:p w14:paraId="7A1907E0" w14:textId="6558A0BE" w:rsidR="00AF1CE0" w:rsidRPr="001D29F7" w:rsidRDefault="00AF1CE0" w:rsidP="00AF1CE0">
      <w:pPr>
        <w:rPr>
          <w:lang w:val="en-US"/>
        </w:rPr>
      </w:pPr>
    </w:p>
    <w:p w14:paraId="70347DD4" w14:textId="77777777" w:rsidR="005C4C6A" w:rsidRDefault="005C4C6A" w:rsidP="005C4C6A">
      <w:pPr>
        <w:rPr>
          <w:color w:val="000000"/>
          <w:lang w:val="es-ES_tradnl" w:eastAsia="es-AR"/>
        </w:rPr>
      </w:pPr>
    </w:p>
    <w:p w14:paraId="28CC3124" w14:textId="77777777" w:rsidR="005C4C6A" w:rsidRDefault="005C4C6A" w:rsidP="005C4C6A">
      <w:pPr>
        <w:rPr>
          <w:color w:val="000000"/>
          <w:lang w:val="es-ES_tradnl" w:eastAsia="es-AR"/>
        </w:rPr>
      </w:pPr>
    </w:p>
    <w:p w14:paraId="3C86071F" w14:textId="327420BB" w:rsidR="005C4C6A" w:rsidRDefault="005C4C6A" w:rsidP="005C4C6A">
      <w:pPr>
        <w:rPr>
          <w:color w:val="000000"/>
          <w:lang w:val="es-ES_tradnl" w:eastAsia="es-AR"/>
        </w:rPr>
      </w:pPr>
    </w:p>
    <w:p w14:paraId="2C1875E2" w14:textId="416F31AC" w:rsidR="005C4C6A" w:rsidRDefault="005C4C6A" w:rsidP="005C4C6A">
      <w:pPr>
        <w:rPr>
          <w:color w:val="000000"/>
          <w:lang w:val="es-ES_tradnl" w:eastAsia="es-AR"/>
        </w:rPr>
      </w:pPr>
    </w:p>
    <w:p w14:paraId="61D173C4" w14:textId="3B530FB4" w:rsidR="005C4C6A" w:rsidRDefault="005C4C6A" w:rsidP="005C4C6A">
      <w:pPr>
        <w:rPr>
          <w:color w:val="000000"/>
          <w:lang w:val="es-ES_tradnl" w:eastAsia="es-AR"/>
        </w:rPr>
      </w:pPr>
    </w:p>
    <w:p w14:paraId="7C8E3CA3" w14:textId="77B927A8" w:rsidR="005C4C6A" w:rsidRDefault="005C4C6A" w:rsidP="005C4C6A">
      <w:pPr>
        <w:rPr>
          <w:color w:val="000000"/>
          <w:lang w:val="es-ES_tradnl" w:eastAsia="es-AR"/>
        </w:rPr>
      </w:pPr>
    </w:p>
    <w:p w14:paraId="15334E59" w14:textId="6C51589D" w:rsidR="005C4C6A" w:rsidRDefault="005C4C6A" w:rsidP="005C4C6A">
      <w:pPr>
        <w:rPr>
          <w:color w:val="000000"/>
          <w:lang w:val="es-ES_tradnl" w:eastAsia="es-AR"/>
        </w:rPr>
      </w:pPr>
    </w:p>
    <w:p w14:paraId="07C1664A" w14:textId="217DE40D" w:rsidR="005C4C6A" w:rsidRDefault="005C4C6A" w:rsidP="005C4C6A">
      <w:pPr>
        <w:rPr>
          <w:color w:val="000000"/>
          <w:lang w:val="es-ES_tradnl" w:eastAsia="es-AR"/>
        </w:rPr>
      </w:pPr>
    </w:p>
    <w:p w14:paraId="75A27EEA" w14:textId="77777777" w:rsidR="005C4C6A" w:rsidRDefault="005C4C6A" w:rsidP="005C4C6A">
      <w:pPr>
        <w:rPr>
          <w:color w:val="000000"/>
          <w:lang w:val="es-ES_tradnl" w:eastAsia="es-AR"/>
        </w:rPr>
      </w:pPr>
    </w:p>
    <w:p w14:paraId="7CCC1051" w14:textId="77777777" w:rsidR="005C4C6A" w:rsidRDefault="005C4C6A" w:rsidP="005C4C6A">
      <w:pPr>
        <w:rPr>
          <w:color w:val="000000"/>
          <w:lang w:val="es-ES_tradnl" w:eastAsia="es-AR"/>
        </w:rPr>
      </w:pPr>
    </w:p>
    <w:p w14:paraId="3B9AEE62" w14:textId="77777777" w:rsidR="005C4C6A" w:rsidRDefault="005C4C6A" w:rsidP="005C4C6A">
      <w:pPr>
        <w:rPr>
          <w:color w:val="000000"/>
          <w:lang w:val="es-ES_tradnl" w:eastAsia="es-AR"/>
        </w:rPr>
      </w:pPr>
      <w:r>
        <w:rPr>
          <w:color w:val="000000"/>
          <w:lang w:val="es-ES_tradnl" w:eastAsia="es-AR"/>
        </w:rPr>
        <w:t>Eugenio Raúl Zaffaroni</w:t>
      </w:r>
    </w:p>
    <w:p w14:paraId="41B8024A" w14:textId="77777777" w:rsidR="005C4C6A" w:rsidRDefault="005C4C6A" w:rsidP="005C4C6A">
      <w:pPr>
        <w:ind w:firstLine="708"/>
        <w:rPr>
          <w:color w:val="000000"/>
          <w:lang w:val="es-ES_tradnl" w:eastAsia="es-AR"/>
        </w:rPr>
      </w:pPr>
      <w:r>
        <w:rPr>
          <w:color w:val="000000"/>
          <w:lang w:val="es-ES_tradnl" w:eastAsia="es-AR"/>
        </w:rPr>
        <w:t xml:space="preserve">  Juez</w:t>
      </w:r>
    </w:p>
    <w:p w14:paraId="4B3C9ECF" w14:textId="77777777" w:rsidR="005C4C6A" w:rsidRDefault="005C4C6A" w:rsidP="005C4C6A">
      <w:pPr>
        <w:ind w:firstLine="708"/>
        <w:rPr>
          <w:color w:val="000000"/>
          <w:lang w:val="es-ES_tradnl" w:eastAsia="es-AR"/>
        </w:rPr>
      </w:pPr>
    </w:p>
    <w:p w14:paraId="6FA54170" w14:textId="77777777" w:rsidR="005C4C6A" w:rsidRDefault="005C4C6A" w:rsidP="005C4C6A">
      <w:pPr>
        <w:ind w:firstLine="708"/>
        <w:rPr>
          <w:color w:val="000000"/>
          <w:lang w:val="es-ES_tradnl" w:eastAsia="es-AR"/>
        </w:rPr>
      </w:pPr>
    </w:p>
    <w:p w14:paraId="31CC6883" w14:textId="77777777" w:rsidR="005C4C6A" w:rsidRDefault="005C4C6A" w:rsidP="005C4C6A">
      <w:pPr>
        <w:ind w:firstLine="708"/>
        <w:rPr>
          <w:color w:val="000000"/>
          <w:lang w:val="es-ES_tradnl" w:eastAsia="es-AR"/>
        </w:rPr>
      </w:pPr>
    </w:p>
    <w:p w14:paraId="09D24921" w14:textId="77777777" w:rsidR="005C4C6A" w:rsidRDefault="005C4C6A" w:rsidP="005C4C6A">
      <w:pPr>
        <w:ind w:firstLine="708"/>
        <w:rPr>
          <w:color w:val="000000"/>
          <w:lang w:val="es-ES_tradnl" w:eastAsia="es-AR"/>
        </w:rPr>
      </w:pPr>
    </w:p>
    <w:p w14:paraId="634C1ACD" w14:textId="77777777" w:rsidR="005C4C6A" w:rsidRDefault="005C4C6A" w:rsidP="005C4C6A">
      <w:pPr>
        <w:ind w:firstLine="708"/>
        <w:rPr>
          <w:color w:val="000000"/>
          <w:lang w:val="es-ES_tradnl" w:eastAsia="es-AR"/>
        </w:rPr>
      </w:pPr>
    </w:p>
    <w:p w14:paraId="79AD23EE" w14:textId="77777777" w:rsidR="005C4C6A" w:rsidRDefault="005C4C6A" w:rsidP="005C4C6A">
      <w:pPr>
        <w:ind w:firstLine="708"/>
        <w:jc w:val="right"/>
        <w:rPr>
          <w:color w:val="000000"/>
          <w:lang w:val="es-ES_tradnl" w:eastAsia="es-AR"/>
        </w:rPr>
      </w:pPr>
      <w:r>
        <w:rPr>
          <w:color w:val="000000"/>
          <w:lang w:val="es-ES_tradnl" w:eastAsia="es-AR"/>
        </w:rPr>
        <w:t>Pablo Saavedra Alessandri</w:t>
      </w:r>
    </w:p>
    <w:p w14:paraId="02484C2A" w14:textId="77777777" w:rsidR="005C4C6A" w:rsidRPr="00F61704" w:rsidRDefault="005C4C6A" w:rsidP="005C4C6A">
      <w:pPr>
        <w:ind w:right="866" w:firstLine="708"/>
        <w:jc w:val="right"/>
        <w:rPr>
          <w:color w:val="000000"/>
          <w:lang w:val="es-ES_tradnl" w:eastAsia="es-AR"/>
        </w:rPr>
      </w:pPr>
      <w:r>
        <w:rPr>
          <w:color w:val="000000"/>
          <w:lang w:val="es-ES_tradnl" w:eastAsia="es-AR"/>
        </w:rPr>
        <w:t>Secretario</w:t>
      </w:r>
    </w:p>
    <w:p w14:paraId="26EE99BD" w14:textId="77777777" w:rsidR="005B6B55" w:rsidRPr="00F955EE" w:rsidRDefault="005B6B55" w:rsidP="00AF1CE0">
      <w:pPr>
        <w:ind w:left="708" w:hanging="708"/>
        <w:jc w:val="center"/>
        <w:rPr>
          <w:rFonts w:cs="Verdana"/>
          <w:lang w:val="es-ES"/>
        </w:rPr>
      </w:pPr>
    </w:p>
    <w:sectPr w:rsidR="005B6B55" w:rsidRPr="00F955EE" w:rsidSect="005657C7">
      <w:footnotePr>
        <w:numRestart w:val="eachSect"/>
      </w:footnotePr>
      <w:pgSz w:w="11900" w:h="16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238FC" w14:textId="77777777" w:rsidR="009E306B" w:rsidRDefault="009E306B" w:rsidP="00F94D74">
      <w:r>
        <w:separator/>
      </w:r>
    </w:p>
    <w:p w14:paraId="7360F9A7" w14:textId="77777777" w:rsidR="009E306B" w:rsidRDefault="009E306B" w:rsidP="00F94D74"/>
  </w:endnote>
  <w:endnote w:type="continuationSeparator" w:id="0">
    <w:p w14:paraId="13A9E273" w14:textId="77777777" w:rsidR="009E306B" w:rsidRDefault="009E306B" w:rsidP="00F94D74">
      <w:r>
        <w:continuationSeparator/>
      </w:r>
    </w:p>
    <w:p w14:paraId="776119F6" w14:textId="77777777" w:rsidR="009E306B" w:rsidRDefault="009E306B" w:rsidP="00F94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Oblique">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mnestyTradeGothic">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1"/>
    <w:family w:val="roman"/>
    <w:notTrueType/>
    <w:pitch w:val="variable"/>
  </w:font>
  <w:font w:name="Vani">
    <w:charset w:val="00"/>
    <w:family w:val="roman"/>
    <w:pitch w:val="variable"/>
    <w:sig w:usb0="002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64788169"/>
      <w:docPartObj>
        <w:docPartGallery w:val="Page Numbers (Bottom of Page)"/>
        <w:docPartUnique/>
      </w:docPartObj>
    </w:sdtPr>
    <w:sdtEndPr>
      <w:rPr>
        <w:noProof/>
      </w:rPr>
    </w:sdtEndPr>
    <w:sdtContent>
      <w:p w14:paraId="622493DB" w14:textId="02E7B8F1" w:rsidR="005579C3" w:rsidRPr="00520A12" w:rsidRDefault="005579C3" w:rsidP="00530549">
        <w:pPr>
          <w:pStyle w:val="Piedepgina"/>
          <w:spacing w:before="120"/>
          <w:jc w:val="center"/>
          <w:rPr>
            <w:sz w:val="18"/>
            <w:szCs w:val="18"/>
          </w:rPr>
        </w:pPr>
        <w:r w:rsidRPr="00520A12">
          <w:rPr>
            <w:sz w:val="18"/>
            <w:szCs w:val="18"/>
          </w:rPr>
          <w:fldChar w:fldCharType="begin"/>
        </w:r>
        <w:r w:rsidRPr="00520A12">
          <w:rPr>
            <w:sz w:val="18"/>
            <w:szCs w:val="18"/>
          </w:rPr>
          <w:instrText xml:space="preserve"> PAGE   \* MERGEFORMAT </w:instrText>
        </w:r>
        <w:r w:rsidRPr="00520A12">
          <w:rPr>
            <w:sz w:val="18"/>
            <w:szCs w:val="18"/>
          </w:rPr>
          <w:fldChar w:fldCharType="separate"/>
        </w:r>
        <w:r w:rsidR="00D878A4">
          <w:rPr>
            <w:noProof/>
            <w:sz w:val="18"/>
            <w:szCs w:val="18"/>
          </w:rPr>
          <w:t>28</w:t>
        </w:r>
        <w:r w:rsidRPr="00520A12">
          <w:rPr>
            <w:noProof/>
            <w:sz w:val="18"/>
            <w:szCs w:val="18"/>
          </w:rPr>
          <w:fldChar w:fldCharType="end"/>
        </w:r>
      </w:p>
    </w:sdtContent>
  </w:sdt>
  <w:p w14:paraId="3049177E" w14:textId="77777777" w:rsidR="005579C3" w:rsidRPr="00520A12" w:rsidRDefault="005579C3" w:rsidP="00530549">
    <w:pPr>
      <w:pStyle w:val="Piedepgina"/>
      <w:spacing w:before="12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94301466"/>
      <w:docPartObj>
        <w:docPartGallery w:val="Page Numbers (Bottom of Page)"/>
        <w:docPartUnique/>
      </w:docPartObj>
    </w:sdtPr>
    <w:sdtEndPr>
      <w:rPr>
        <w:noProof/>
        <w:color w:val="FFFFFF" w:themeColor="background1"/>
      </w:rPr>
    </w:sdtEndPr>
    <w:sdtContent>
      <w:p w14:paraId="7311F0F6" w14:textId="042FB3E4" w:rsidR="005579C3" w:rsidRPr="00454CF5" w:rsidRDefault="005579C3" w:rsidP="00562B60">
        <w:pPr>
          <w:pStyle w:val="Piedepgina"/>
          <w:spacing w:before="120"/>
          <w:jc w:val="center"/>
          <w:rPr>
            <w:color w:val="FFFFFF" w:themeColor="background1"/>
            <w:sz w:val="18"/>
            <w:szCs w:val="18"/>
          </w:rPr>
        </w:pPr>
        <w:r w:rsidRPr="00454CF5">
          <w:rPr>
            <w:color w:val="FFFFFF" w:themeColor="background1"/>
            <w:sz w:val="18"/>
            <w:szCs w:val="18"/>
          </w:rPr>
          <w:fldChar w:fldCharType="begin"/>
        </w:r>
        <w:r w:rsidRPr="00454CF5">
          <w:rPr>
            <w:color w:val="FFFFFF" w:themeColor="background1"/>
            <w:sz w:val="18"/>
            <w:szCs w:val="18"/>
          </w:rPr>
          <w:instrText xml:space="preserve"> PAGE   \* MERGEFORMAT </w:instrText>
        </w:r>
        <w:r w:rsidRPr="00454CF5">
          <w:rPr>
            <w:color w:val="FFFFFF" w:themeColor="background1"/>
            <w:sz w:val="18"/>
            <w:szCs w:val="18"/>
          </w:rPr>
          <w:fldChar w:fldCharType="separate"/>
        </w:r>
        <w:r w:rsidR="00D878A4">
          <w:rPr>
            <w:noProof/>
            <w:color w:val="FFFFFF" w:themeColor="background1"/>
            <w:sz w:val="18"/>
            <w:szCs w:val="18"/>
          </w:rPr>
          <w:t>1</w:t>
        </w:r>
        <w:r w:rsidRPr="00454CF5">
          <w:rPr>
            <w:noProof/>
            <w:color w:val="FFFFFF" w:themeColor="background1"/>
            <w:sz w:val="18"/>
            <w:szCs w:val="18"/>
          </w:rPr>
          <w:fldChar w:fldCharType="end"/>
        </w:r>
      </w:p>
    </w:sdtContent>
  </w:sdt>
  <w:p w14:paraId="1255FA17" w14:textId="77777777" w:rsidR="005579C3" w:rsidRPr="00562B60" w:rsidRDefault="005579C3" w:rsidP="00562B60">
    <w:pPr>
      <w:pStyle w:val="Piedepgina"/>
      <w:spacing w:before="12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34D4F" w14:textId="77777777" w:rsidR="009E306B" w:rsidRDefault="009E306B" w:rsidP="00F94D74">
      <w:r>
        <w:separator/>
      </w:r>
    </w:p>
    <w:p w14:paraId="5EA9AAF6" w14:textId="77777777" w:rsidR="009E306B" w:rsidRDefault="009E306B" w:rsidP="00F94D74"/>
  </w:footnote>
  <w:footnote w:type="continuationSeparator" w:id="0">
    <w:p w14:paraId="4A656826" w14:textId="77777777" w:rsidR="009E306B" w:rsidRDefault="009E306B" w:rsidP="00F94D74">
      <w:r>
        <w:continuationSeparator/>
      </w:r>
    </w:p>
    <w:p w14:paraId="2F594F26" w14:textId="77777777" w:rsidR="009E306B" w:rsidRDefault="009E306B" w:rsidP="00F94D74"/>
  </w:footnote>
  <w:footnote w:id="1">
    <w:p w14:paraId="095D1624" w14:textId="03E74CED" w:rsidR="005579C3" w:rsidRPr="0046086B" w:rsidRDefault="005579C3" w:rsidP="0046086B">
      <w:pPr>
        <w:pStyle w:val="Textonotapie"/>
        <w:tabs>
          <w:tab w:val="left" w:pos="567"/>
          <w:tab w:val="left" w:pos="709"/>
        </w:tabs>
        <w:rPr>
          <w:color w:val="000000" w:themeColor="text1"/>
          <w:sz w:val="16"/>
          <w:szCs w:val="16"/>
          <w:lang w:val="es-CR"/>
        </w:rPr>
      </w:pPr>
      <w:r w:rsidRPr="0046086B">
        <w:rPr>
          <w:rStyle w:val="Refdenotaalpie"/>
          <w:color w:val="000000" w:themeColor="text1"/>
          <w:sz w:val="16"/>
          <w:szCs w:val="16"/>
        </w:rPr>
        <w:footnoteRef/>
      </w:r>
      <w:r w:rsidRPr="0046086B">
        <w:rPr>
          <w:color w:val="000000" w:themeColor="text1"/>
          <w:sz w:val="16"/>
          <w:szCs w:val="16"/>
          <w:lang w:val="es-CR"/>
        </w:rPr>
        <w:t xml:space="preserve"> </w:t>
      </w:r>
      <w:r w:rsidRPr="0046086B">
        <w:rPr>
          <w:color w:val="000000" w:themeColor="text1"/>
          <w:sz w:val="16"/>
          <w:szCs w:val="16"/>
          <w:lang w:val="es-CR"/>
        </w:rPr>
        <w:tab/>
        <w:t xml:space="preserve">El mismo fue notificado a las partes el 1 de septiembre de 2009. </w:t>
      </w:r>
    </w:p>
  </w:footnote>
  <w:footnote w:id="2">
    <w:p w14:paraId="53271CEC" w14:textId="16A3289A"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t xml:space="preserve">La Comisión concluyó que el Estado de Nicaragua era responsable por </w:t>
      </w:r>
      <w:r w:rsidRPr="0046086B">
        <w:rPr>
          <w:rFonts w:eastAsiaTheme="minorHAnsi"/>
          <w:color w:val="000000" w:themeColor="text1"/>
          <w:sz w:val="16"/>
          <w:szCs w:val="16"/>
          <w:lang w:eastAsia="en-US"/>
        </w:rPr>
        <w:t>la violación de los derechos a la vida, a la integridad personal, a las garantías judiciales y a la protección judicial establecidos en los artículos 4.1, 5.1, 8.1 y 25.1 de la Convención Americana en relación con las obligaciones establecidas en los artículos 1.1 y 2 del mismo instrumento, en perjuicio de Patricio Fernando Roche Azaña, Pedro Bacilio Roche Azaña, María Angelita Azaña Tenesaca y José Fernando Roche Zhizhingo</w:t>
      </w:r>
      <w:r w:rsidRPr="0046086B">
        <w:rPr>
          <w:color w:val="000000" w:themeColor="text1"/>
          <w:sz w:val="16"/>
          <w:szCs w:val="16"/>
        </w:rPr>
        <w:t xml:space="preserve">. </w:t>
      </w:r>
    </w:p>
  </w:footnote>
  <w:footnote w:id="3">
    <w:p w14:paraId="1E8D6C44" w14:textId="042E43C2" w:rsidR="005579C3" w:rsidRPr="0046086B" w:rsidRDefault="005579C3" w:rsidP="0046086B">
      <w:pPr>
        <w:pStyle w:val="Textonotapie"/>
        <w:tabs>
          <w:tab w:val="left" w:pos="567"/>
          <w:tab w:val="left" w:pos="709"/>
        </w:tabs>
        <w:rPr>
          <w:color w:val="000000" w:themeColor="text1"/>
          <w:sz w:val="16"/>
          <w:szCs w:val="16"/>
          <w:lang w:val="es-CR"/>
        </w:rPr>
      </w:pPr>
      <w:r w:rsidRPr="0046086B">
        <w:rPr>
          <w:rStyle w:val="Refdenotaalpie"/>
          <w:color w:val="000000" w:themeColor="text1"/>
          <w:sz w:val="16"/>
          <w:szCs w:val="16"/>
        </w:rPr>
        <w:footnoteRef/>
      </w:r>
      <w:r w:rsidRPr="0046086B">
        <w:rPr>
          <w:color w:val="000000" w:themeColor="text1"/>
          <w:sz w:val="16"/>
          <w:szCs w:val="16"/>
          <w:lang w:val="es-CR"/>
        </w:rPr>
        <w:t xml:space="preserve"> </w:t>
      </w:r>
      <w:r w:rsidRPr="0046086B">
        <w:rPr>
          <w:color w:val="000000" w:themeColor="text1"/>
          <w:sz w:val="16"/>
          <w:szCs w:val="16"/>
          <w:lang w:val="es-CR"/>
        </w:rPr>
        <w:tab/>
        <w:t xml:space="preserve">La Comisión designó, como sus delegados ante la Corte, a la Comisionada Antonia Urrejola y al Secretario Ejecutivo Paulo Abrão. Asimismo, designó como asesoras legales a la señora Silvia Serrano Guzmán, entonces abogada de la Secretaría Ejecutiva, así como a la señora Mónica Oehler Toca, entonces abogada de la Secretaría Ejecutiva. </w:t>
      </w:r>
    </w:p>
  </w:footnote>
  <w:footnote w:id="4">
    <w:p w14:paraId="327F4113" w14:textId="0B5D136E" w:rsidR="005579C3" w:rsidRPr="0046086B" w:rsidRDefault="005579C3" w:rsidP="0046086B">
      <w:pPr>
        <w:pStyle w:val="Textonotapie"/>
        <w:tabs>
          <w:tab w:val="left" w:pos="567"/>
          <w:tab w:val="left" w:pos="709"/>
        </w:tabs>
        <w:rPr>
          <w:color w:val="000000" w:themeColor="text1"/>
          <w:sz w:val="16"/>
          <w:szCs w:val="16"/>
          <w:lang w:val="es-CR"/>
        </w:rPr>
      </w:pPr>
      <w:r w:rsidRPr="0046086B">
        <w:rPr>
          <w:rStyle w:val="Refdenotaalpie"/>
          <w:color w:val="000000" w:themeColor="text1"/>
          <w:sz w:val="16"/>
          <w:szCs w:val="16"/>
        </w:rPr>
        <w:footnoteRef/>
      </w:r>
      <w:r w:rsidRPr="0046086B">
        <w:rPr>
          <w:color w:val="000000" w:themeColor="text1"/>
          <w:sz w:val="16"/>
          <w:szCs w:val="16"/>
          <w:lang w:val="es-CR"/>
        </w:rPr>
        <w:t xml:space="preserve"> </w:t>
      </w:r>
      <w:r w:rsidRPr="0046086B">
        <w:rPr>
          <w:color w:val="000000" w:themeColor="text1"/>
          <w:sz w:val="16"/>
          <w:szCs w:val="16"/>
          <w:lang w:val="es-CR"/>
        </w:rPr>
        <w:tab/>
        <w:t xml:space="preserve">El señor Luis Patricio Barrera Tello ejerce la representación de las presuntas víctimas en este caso. </w:t>
      </w:r>
    </w:p>
  </w:footnote>
  <w:footnote w:id="5">
    <w:p w14:paraId="162995D8" w14:textId="77777777" w:rsidR="005579C3" w:rsidRPr="0046086B" w:rsidRDefault="005579C3" w:rsidP="0046086B">
      <w:pPr>
        <w:pStyle w:val="Textonotapie"/>
        <w:tabs>
          <w:tab w:val="left" w:pos="567"/>
          <w:tab w:val="left" w:pos="709"/>
        </w:tabs>
        <w:rPr>
          <w:color w:val="000000" w:themeColor="text1"/>
          <w:sz w:val="16"/>
          <w:szCs w:val="16"/>
          <w:lang w:val="es-CR"/>
        </w:rPr>
      </w:pPr>
      <w:r w:rsidRPr="0046086B">
        <w:rPr>
          <w:rStyle w:val="Refdenotaalpie"/>
          <w:color w:val="000000" w:themeColor="text1"/>
          <w:sz w:val="16"/>
          <w:szCs w:val="16"/>
        </w:rPr>
        <w:footnoteRef/>
      </w:r>
      <w:r w:rsidRPr="0046086B">
        <w:rPr>
          <w:color w:val="000000" w:themeColor="text1"/>
          <w:sz w:val="16"/>
          <w:szCs w:val="16"/>
          <w:lang w:val="es-CR"/>
        </w:rPr>
        <w:t xml:space="preserve"> </w:t>
      </w:r>
      <w:r w:rsidRPr="0046086B">
        <w:rPr>
          <w:color w:val="000000" w:themeColor="text1"/>
          <w:sz w:val="16"/>
          <w:szCs w:val="16"/>
          <w:lang w:val="es-CR"/>
        </w:rPr>
        <w:tab/>
      </w:r>
      <w:r w:rsidRPr="0046086B">
        <w:rPr>
          <w:i/>
          <w:color w:val="000000" w:themeColor="text1"/>
          <w:sz w:val="16"/>
          <w:szCs w:val="16"/>
          <w:lang w:val="es-CR"/>
        </w:rPr>
        <w:t xml:space="preserve">Cfr. </w:t>
      </w:r>
      <w:r w:rsidRPr="0046086B">
        <w:rPr>
          <w:rStyle w:val="Textoennegrita"/>
          <w:b w:val="0"/>
          <w:i/>
          <w:color w:val="000000" w:themeColor="text1"/>
          <w:sz w:val="16"/>
          <w:szCs w:val="16"/>
          <w:shd w:val="clear" w:color="auto" w:fill="FFFFFF"/>
        </w:rPr>
        <w:t>Caso Roche Azaña y otros Vs. Nicaragua. Convocatoria a audiencia</w:t>
      </w:r>
      <w:r w:rsidRPr="0046086B">
        <w:rPr>
          <w:rStyle w:val="Textoennegrita"/>
          <w:b w:val="0"/>
          <w:color w:val="000000" w:themeColor="text1"/>
          <w:sz w:val="16"/>
          <w:szCs w:val="16"/>
          <w:shd w:val="clear" w:color="auto" w:fill="FFFFFF"/>
        </w:rPr>
        <w:t>. Resolución del Presidente de la Corte Interamericana de Derechos Humanos de 6 de diciembre de 2019.</w:t>
      </w:r>
      <w:r w:rsidRPr="0046086B">
        <w:rPr>
          <w:color w:val="000000" w:themeColor="text1"/>
          <w:sz w:val="16"/>
          <w:szCs w:val="16"/>
          <w:lang w:val="es-CR"/>
        </w:rPr>
        <w:t xml:space="preserve"> Disponible en:</w:t>
      </w:r>
    </w:p>
    <w:p w14:paraId="56F03D9C" w14:textId="06425FC8" w:rsidR="005579C3" w:rsidRPr="0046086B" w:rsidRDefault="009E306B" w:rsidP="0046086B">
      <w:pPr>
        <w:pStyle w:val="Textonotapie"/>
        <w:tabs>
          <w:tab w:val="left" w:pos="567"/>
          <w:tab w:val="left" w:pos="709"/>
        </w:tabs>
        <w:rPr>
          <w:color w:val="000000" w:themeColor="text1"/>
          <w:sz w:val="16"/>
          <w:szCs w:val="16"/>
          <w:lang w:val="es-CR"/>
        </w:rPr>
      </w:pPr>
      <w:hyperlink r:id="rId1" w:history="1">
        <w:r w:rsidR="005579C3" w:rsidRPr="0046086B">
          <w:rPr>
            <w:rStyle w:val="Hipervnculo"/>
            <w:sz w:val="16"/>
            <w:szCs w:val="16"/>
          </w:rPr>
          <w:t>http://www.corteidh.or.cr/docs/asuntos/roche_azana_6_12_19.pdf</w:t>
        </w:r>
      </w:hyperlink>
      <w:r w:rsidR="005579C3" w:rsidRPr="0046086B">
        <w:rPr>
          <w:rStyle w:val="Hipervnculo"/>
          <w:color w:val="000000" w:themeColor="text1"/>
          <w:sz w:val="16"/>
          <w:szCs w:val="16"/>
        </w:rPr>
        <w:t xml:space="preserve"> </w:t>
      </w:r>
    </w:p>
  </w:footnote>
  <w:footnote w:id="6">
    <w:p w14:paraId="59785CFE" w14:textId="77777777" w:rsidR="005579C3" w:rsidRPr="0046086B" w:rsidRDefault="005579C3" w:rsidP="0046086B">
      <w:pPr>
        <w:pStyle w:val="Textonotapie"/>
        <w:tabs>
          <w:tab w:val="left" w:pos="567"/>
          <w:tab w:val="left" w:pos="709"/>
        </w:tabs>
        <w:rPr>
          <w:color w:val="000000" w:themeColor="text1"/>
          <w:sz w:val="16"/>
          <w:szCs w:val="16"/>
          <w:lang w:val="es-CR"/>
        </w:rPr>
      </w:pPr>
      <w:r w:rsidRPr="0046086B">
        <w:rPr>
          <w:rStyle w:val="Refdenotaalpie"/>
          <w:color w:val="000000" w:themeColor="text1"/>
          <w:sz w:val="16"/>
          <w:szCs w:val="16"/>
        </w:rPr>
        <w:footnoteRef/>
      </w:r>
      <w:r w:rsidRPr="0046086B">
        <w:rPr>
          <w:color w:val="000000" w:themeColor="text1"/>
          <w:sz w:val="16"/>
          <w:szCs w:val="16"/>
          <w:lang w:val="es-CR"/>
        </w:rPr>
        <w:t xml:space="preserve"> </w:t>
      </w:r>
      <w:r w:rsidRPr="0046086B">
        <w:rPr>
          <w:color w:val="000000" w:themeColor="text1"/>
          <w:sz w:val="16"/>
          <w:szCs w:val="16"/>
          <w:lang w:val="es-CR"/>
        </w:rPr>
        <w:tab/>
        <w:t xml:space="preserve">A esta audiencia comparecieron: </w:t>
      </w:r>
    </w:p>
    <w:p w14:paraId="79945583" w14:textId="3F3B3E34" w:rsidR="005579C3" w:rsidRPr="0046086B" w:rsidRDefault="005579C3" w:rsidP="0046086B">
      <w:pPr>
        <w:pStyle w:val="Textonotapie"/>
        <w:tabs>
          <w:tab w:val="left" w:pos="810"/>
        </w:tabs>
        <w:ind w:left="900" w:right="90"/>
        <w:rPr>
          <w:color w:val="000000" w:themeColor="text1"/>
          <w:sz w:val="16"/>
          <w:szCs w:val="16"/>
          <w:lang w:val="es-CR"/>
        </w:rPr>
      </w:pPr>
      <w:r w:rsidRPr="0046086B">
        <w:rPr>
          <w:color w:val="000000" w:themeColor="text1"/>
          <w:sz w:val="16"/>
          <w:szCs w:val="16"/>
          <w:lang w:val="es-CR"/>
        </w:rPr>
        <w:t>a) por la Comisión Interamericana: la Secretaria Ejecutiva Adjunta Marisol Blanchard, el asesor Jorge H. Meza Flores y el asesor Christian González;</w:t>
      </w:r>
    </w:p>
    <w:p w14:paraId="4AA1693E" w14:textId="77777777" w:rsidR="005579C3" w:rsidRPr="0046086B" w:rsidRDefault="005579C3" w:rsidP="0046086B">
      <w:pPr>
        <w:pStyle w:val="Textonotapie"/>
        <w:tabs>
          <w:tab w:val="left" w:pos="810"/>
        </w:tabs>
        <w:ind w:left="900" w:right="90"/>
        <w:rPr>
          <w:color w:val="000000" w:themeColor="text1"/>
          <w:sz w:val="16"/>
          <w:szCs w:val="16"/>
          <w:lang w:val="es-CR"/>
        </w:rPr>
      </w:pPr>
      <w:r w:rsidRPr="0046086B">
        <w:rPr>
          <w:color w:val="000000" w:themeColor="text1"/>
          <w:sz w:val="16"/>
          <w:szCs w:val="16"/>
          <w:lang w:val="es-CR"/>
        </w:rPr>
        <w:t xml:space="preserve">b) por la representación de las presuntas víctimas el Dr. Patricio Barrera Tello, y </w:t>
      </w:r>
    </w:p>
    <w:p w14:paraId="2D4F43AB" w14:textId="77777777" w:rsidR="005579C3" w:rsidRPr="0046086B" w:rsidRDefault="005579C3" w:rsidP="0046086B">
      <w:pPr>
        <w:pStyle w:val="Textonotapie"/>
        <w:tabs>
          <w:tab w:val="left" w:pos="810"/>
        </w:tabs>
        <w:ind w:left="900" w:right="90"/>
        <w:rPr>
          <w:strike/>
          <w:color w:val="000000" w:themeColor="text1"/>
          <w:sz w:val="16"/>
          <w:szCs w:val="16"/>
          <w:lang w:val="es-CR"/>
        </w:rPr>
      </w:pPr>
      <w:r w:rsidRPr="0046086B">
        <w:rPr>
          <w:color w:val="000000" w:themeColor="text1"/>
          <w:sz w:val="16"/>
          <w:szCs w:val="16"/>
          <w:lang w:val="es-CR"/>
        </w:rPr>
        <w:t>c) por el Estado de Nicaragua: la señora Grethel Fernández Sánchez y los señores Lenín Soza Robelo y Hernaldo Chamorro Díaz.</w:t>
      </w:r>
    </w:p>
  </w:footnote>
  <w:footnote w:id="7">
    <w:p w14:paraId="0DE22705" w14:textId="09B66283" w:rsidR="005579C3" w:rsidRPr="0046086B" w:rsidRDefault="005579C3" w:rsidP="0046086B">
      <w:pPr>
        <w:pStyle w:val="Textonotapie"/>
        <w:tabs>
          <w:tab w:val="left" w:pos="567"/>
          <w:tab w:val="left" w:pos="709"/>
        </w:tabs>
        <w:rPr>
          <w:rFonts w:cs="Calibri"/>
          <w:color w:val="000000"/>
          <w:sz w:val="16"/>
          <w:szCs w:val="16"/>
          <w:lang w:val="es-ES" w:eastAsia="es-ES_tradnl"/>
        </w:rPr>
      </w:pPr>
      <w:r w:rsidRPr="0046086B">
        <w:rPr>
          <w:rStyle w:val="Refdenotaalpie"/>
          <w:sz w:val="16"/>
          <w:szCs w:val="16"/>
        </w:rPr>
        <w:footnoteRef/>
      </w:r>
      <w:r w:rsidRPr="0046086B">
        <w:rPr>
          <w:sz w:val="16"/>
          <w:szCs w:val="16"/>
        </w:rPr>
        <w:t xml:space="preserve"> </w:t>
      </w:r>
      <w:r w:rsidRPr="0046086B">
        <w:rPr>
          <w:sz w:val="16"/>
          <w:szCs w:val="16"/>
        </w:rPr>
        <w:tab/>
      </w:r>
      <w:r w:rsidRPr="0046086B">
        <w:rPr>
          <w:rFonts w:cs="Calibri"/>
          <w:color w:val="000000"/>
          <w:sz w:val="16"/>
          <w:szCs w:val="16"/>
          <w:lang w:val="es-AR" w:eastAsia="es-ES_tradnl"/>
        </w:rPr>
        <w:t>Debido a las circunstancias excepcionales ocasionadas por la pandemia COVID-19, esta Sentencia fue deliberada y aprobada durante el 135 Período Ordinario de Sesiones, el cual se llevó a cabo de forma no presencial utilizando medios tecnológicos de conformidad con lo establecido en el Reglamento de la Corte</w:t>
      </w:r>
      <w:r w:rsidRPr="0046086B">
        <w:rPr>
          <w:color w:val="000000" w:themeColor="text1"/>
          <w:sz w:val="16"/>
          <w:szCs w:val="16"/>
        </w:rPr>
        <w:t>.</w:t>
      </w:r>
    </w:p>
  </w:footnote>
  <w:footnote w:id="8">
    <w:p w14:paraId="54E3D049" w14:textId="473EB377"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t xml:space="preserve">La prueba documental puede ser presentada, en general y de conformidad con el artículo 57.2 del Reglamento, junto con los escritos de sometimiento del caso, de solicitudes y argumentos o de contestación, según corresponda, y no es admisible la prueba remitida fuera de esas oportunidades procesales, salvo en las excepciones establecidas en el referido artículo 57.2 del Reglamento (a saber, fuerza mayor, impedimento grave) o salvo si se tratara de un hecho superviniente, es decir, ocurrido con posterioridad a los citados momentos procesales. </w:t>
      </w:r>
      <w:r w:rsidRPr="0046086B">
        <w:rPr>
          <w:i/>
          <w:color w:val="000000" w:themeColor="text1"/>
          <w:sz w:val="16"/>
          <w:szCs w:val="16"/>
        </w:rPr>
        <w:t>Cfr.</w:t>
      </w:r>
      <w:r w:rsidRPr="0046086B">
        <w:rPr>
          <w:color w:val="000000" w:themeColor="text1"/>
          <w:sz w:val="16"/>
          <w:szCs w:val="16"/>
        </w:rPr>
        <w:t xml:space="preserve"> </w:t>
      </w:r>
      <w:r w:rsidRPr="0046086B">
        <w:rPr>
          <w:i/>
          <w:color w:val="000000" w:themeColor="text1"/>
          <w:sz w:val="16"/>
          <w:szCs w:val="16"/>
        </w:rPr>
        <w:t xml:space="preserve">Caso Familia Barrios Vs. Venezuela. Fondo, Reparaciones y Costas. </w:t>
      </w:r>
      <w:r w:rsidRPr="0046086B">
        <w:rPr>
          <w:color w:val="000000" w:themeColor="text1"/>
          <w:sz w:val="16"/>
          <w:szCs w:val="16"/>
        </w:rPr>
        <w:t xml:space="preserve">Sentencia de 24 de noviembre de 2011. Serie C No. 237, párrs. 17 y 18, y </w:t>
      </w:r>
      <w:r w:rsidRPr="0046086B">
        <w:rPr>
          <w:rStyle w:val="Textoennegrita"/>
          <w:rFonts w:eastAsia="MS Mincho"/>
          <w:b w:val="0"/>
          <w:i/>
          <w:color w:val="000000"/>
          <w:sz w:val="16"/>
          <w:szCs w:val="16"/>
          <w:shd w:val="clear" w:color="auto" w:fill="FFFFFF"/>
        </w:rPr>
        <w:t>Caso Azul Rojas Marín y otra Vs. Perú. Excepciones Preliminares, Fondo, Reparaciones y Costas.</w:t>
      </w:r>
      <w:r w:rsidRPr="0046086B">
        <w:rPr>
          <w:rStyle w:val="Textoennegrita"/>
          <w:rFonts w:eastAsia="MS Mincho"/>
          <w:b w:val="0"/>
          <w:color w:val="000000"/>
          <w:sz w:val="16"/>
          <w:szCs w:val="16"/>
          <w:shd w:val="clear" w:color="auto" w:fill="FFFFFF"/>
        </w:rPr>
        <w:t xml:space="preserve"> Sentencia de 12 de marzo de 2020. Serie C No. 402</w:t>
      </w:r>
      <w:r w:rsidRPr="0046086B">
        <w:rPr>
          <w:rStyle w:val="Textoennegrita"/>
          <w:b w:val="0"/>
          <w:color w:val="000000" w:themeColor="text1"/>
          <w:sz w:val="16"/>
          <w:szCs w:val="16"/>
          <w:shd w:val="clear" w:color="auto" w:fill="FFFFFF"/>
        </w:rPr>
        <w:t>,</w:t>
      </w:r>
      <w:r w:rsidRPr="0046086B">
        <w:rPr>
          <w:rStyle w:val="Textoennegrita"/>
          <w:b w:val="0"/>
          <w:i/>
          <w:color w:val="000000" w:themeColor="text1"/>
          <w:sz w:val="16"/>
          <w:szCs w:val="16"/>
          <w:shd w:val="clear" w:color="auto" w:fill="FFFFFF"/>
        </w:rPr>
        <w:t xml:space="preserve"> </w:t>
      </w:r>
      <w:r w:rsidRPr="0046086B">
        <w:rPr>
          <w:rStyle w:val="Textoennegrita"/>
          <w:b w:val="0"/>
          <w:color w:val="000000" w:themeColor="text1"/>
          <w:sz w:val="16"/>
          <w:szCs w:val="16"/>
          <w:shd w:val="clear" w:color="auto" w:fill="FFFFFF"/>
        </w:rPr>
        <w:t>párr. 34</w:t>
      </w:r>
      <w:r w:rsidRPr="0046086B">
        <w:rPr>
          <w:rStyle w:val="Textoennegrita"/>
          <w:b w:val="0"/>
          <w:i/>
          <w:color w:val="000000" w:themeColor="text1"/>
          <w:sz w:val="16"/>
          <w:szCs w:val="16"/>
          <w:shd w:val="clear" w:color="auto" w:fill="FFFFFF"/>
        </w:rPr>
        <w:t>.</w:t>
      </w:r>
    </w:p>
  </w:footnote>
  <w:footnote w:id="9">
    <w:p w14:paraId="22263F00" w14:textId="5439E137" w:rsidR="005579C3" w:rsidRPr="0046086B" w:rsidRDefault="005579C3" w:rsidP="0046086B">
      <w:pPr>
        <w:pStyle w:val="Textonotapie"/>
        <w:tabs>
          <w:tab w:val="left" w:pos="567"/>
          <w:tab w:val="left" w:pos="709"/>
        </w:tabs>
        <w:rPr>
          <w:sz w:val="16"/>
          <w:szCs w:val="16"/>
          <w:lang w:val="es-ES" w:eastAsia="es-ES_tradnl"/>
        </w:rPr>
      </w:pPr>
      <w:r w:rsidRPr="0046086B">
        <w:rPr>
          <w:rStyle w:val="Refdenotaalpie"/>
          <w:sz w:val="16"/>
          <w:szCs w:val="16"/>
        </w:rPr>
        <w:footnoteRef/>
      </w:r>
      <w:r w:rsidRPr="0046086B">
        <w:rPr>
          <w:sz w:val="16"/>
          <w:szCs w:val="16"/>
        </w:rPr>
        <w:t xml:space="preserve"> </w:t>
      </w:r>
      <w:r w:rsidRPr="0046086B">
        <w:rPr>
          <w:sz w:val="16"/>
          <w:szCs w:val="16"/>
        </w:rPr>
        <w:tab/>
      </w:r>
      <w:r w:rsidRPr="0046086B">
        <w:rPr>
          <w:i/>
          <w:iCs/>
          <w:sz w:val="16"/>
          <w:szCs w:val="16"/>
          <w:lang w:val="es-ES" w:eastAsia="es-ES_tradnl"/>
        </w:rPr>
        <w:t>Cfr. Caso Velásquez Rodríguez Vs. Honduras. Fondo</w:t>
      </w:r>
      <w:r w:rsidRPr="0046086B">
        <w:rPr>
          <w:sz w:val="16"/>
          <w:szCs w:val="16"/>
          <w:lang w:val="es-ES" w:eastAsia="es-ES_tradnl"/>
        </w:rPr>
        <w:t xml:space="preserve">, Sentencia de 29 de julio de 1988. Serie C No. 4, párr. 146, y </w:t>
      </w:r>
      <w:r w:rsidRPr="0046086B">
        <w:rPr>
          <w:i/>
          <w:iCs/>
          <w:sz w:val="16"/>
          <w:szCs w:val="16"/>
          <w:lang w:val="es-ES" w:eastAsia="es-ES_tradnl"/>
        </w:rPr>
        <w:t>Caso J. Vs. Perú. Excepción Preliminar, Fondo, Reparaciones y Costas</w:t>
      </w:r>
      <w:r w:rsidRPr="0046086B">
        <w:rPr>
          <w:sz w:val="16"/>
          <w:szCs w:val="16"/>
          <w:lang w:val="es-ES" w:eastAsia="es-ES_tradnl"/>
        </w:rPr>
        <w:t>. Sentencia de 27 de noviembre de 2013. Serie C No. 275, párr. 41</w:t>
      </w:r>
    </w:p>
  </w:footnote>
  <w:footnote w:id="10">
    <w:p w14:paraId="42BA6034" w14:textId="77777777"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t>En audiencia pública la Corte recibió las declaraciones de Patricio Fernando Roche Azaña y María Angelita Azaña Tenesaca.</w:t>
      </w:r>
    </w:p>
  </w:footnote>
  <w:footnote w:id="11">
    <w:p w14:paraId="03098303" w14:textId="77777777"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t>La Corte recibió las declaraciones rendidas ante fedatario público (</w:t>
      </w:r>
      <w:r w:rsidRPr="0046086B">
        <w:rPr>
          <w:i/>
          <w:iCs/>
          <w:color w:val="000000" w:themeColor="text1"/>
          <w:sz w:val="16"/>
          <w:szCs w:val="16"/>
        </w:rPr>
        <w:t>afidávit</w:t>
      </w:r>
      <w:r w:rsidRPr="0046086B">
        <w:rPr>
          <w:color w:val="000000" w:themeColor="text1"/>
          <w:sz w:val="16"/>
          <w:szCs w:val="16"/>
        </w:rPr>
        <w:t>) del testigo Rómulo Elogio Gutiérrez Pesantez y la perita Ximena del Carmen Pacheco Paredes propuestos por el representante.</w:t>
      </w:r>
    </w:p>
  </w:footnote>
  <w:footnote w:id="12">
    <w:p w14:paraId="1F4DC44E" w14:textId="188EA922" w:rsidR="005579C3" w:rsidRPr="0046086B" w:rsidRDefault="005579C3" w:rsidP="0046086B">
      <w:pPr>
        <w:pStyle w:val="Textonotapie"/>
        <w:tabs>
          <w:tab w:val="left" w:pos="567"/>
        </w:tabs>
        <w:rPr>
          <w:color w:val="000000" w:themeColor="text1"/>
          <w:sz w:val="16"/>
          <w:szCs w:val="16"/>
          <w:lang w:val="es-CR"/>
        </w:rPr>
      </w:pPr>
      <w:r w:rsidRPr="0046086B">
        <w:rPr>
          <w:rStyle w:val="Refdenotaalpie"/>
          <w:rFonts w:eastAsia="Calibri"/>
          <w:color w:val="000000" w:themeColor="text1"/>
          <w:sz w:val="16"/>
          <w:szCs w:val="16"/>
        </w:rPr>
        <w:footnoteRef/>
      </w:r>
      <w:r w:rsidRPr="0046086B">
        <w:rPr>
          <w:color w:val="000000" w:themeColor="text1"/>
          <w:sz w:val="16"/>
          <w:szCs w:val="16"/>
          <w:lang w:val="es-CR"/>
        </w:rPr>
        <w:t xml:space="preserve"> </w:t>
      </w:r>
      <w:r w:rsidRPr="0046086B">
        <w:rPr>
          <w:color w:val="000000" w:themeColor="text1"/>
          <w:sz w:val="16"/>
          <w:szCs w:val="16"/>
          <w:lang w:val="es-CR"/>
        </w:rPr>
        <w:tab/>
        <w:t>Los objetos de todas estas declaraciones se encuentran establecidos en la Resolución del entonces Presidente de la Corte Interamericana emitida el</w:t>
      </w:r>
      <w:r w:rsidRPr="0046086B">
        <w:rPr>
          <w:i/>
          <w:color w:val="000000" w:themeColor="text1"/>
          <w:sz w:val="16"/>
          <w:szCs w:val="16"/>
          <w:lang w:val="es-CR"/>
        </w:rPr>
        <w:t xml:space="preserve"> </w:t>
      </w:r>
      <w:r w:rsidRPr="0046086B">
        <w:rPr>
          <w:color w:val="000000" w:themeColor="text1"/>
          <w:sz w:val="16"/>
          <w:szCs w:val="16"/>
          <w:lang w:val="es-CR"/>
        </w:rPr>
        <w:t>6 de diciembre de 2019. Disponible en:</w:t>
      </w:r>
    </w:p>
    <w:p w14:paraId="1EF3AE95" w14:textId="02DEFDB9" w:rsidR="005579C3" w:rsidRPr="0046086B" w:rsidRDefault="009E306B" w:rsidP="0046086B">
      <w:pPr>
        <w:pStyle w:val="Textonotapie"/>
        <w:tabs>
          <w:tab w:val="left" w:pos="567"/>
        </w:tabs>
        <w:rPr>
          <w:sz w:val="16"/>
          <w:szCs w:val="16"/>
        </w:rPr>
      </w:pPr>
      <w:hyperlink r:id="rId2" w:history="1">
        <w:r w:rsidR="005579C3" w:rsidRPr="0046086B">
          <w:rPr>
            <w:rStyle w:val="Hipervnculo"/>
            <w:sz w:val="16"/>
            <w:szCs w:val="16"/>
          </w:rPr>
          <w:t>http://www.corteidh.or.cr/docs/asuntos/roche_azana_6_12_19.pdf</w:t>
        </w:r>
      </w:hyperlink>
      <w:r w:rsidR="005579C3" w:rsidRPr="0046086B">
        <w:rPr>
          <w:sz w:val="16"/>
          <w:szCs w:val="16"/>
        </w:rPr>
        <w:t xml:space="preserve"> </w:t>
      </w:r>
    </w:p>
  </w:footnote>
  <w:footnote w:id="13">
    <w:p w14:paraId="057D4F38" w14:textId="6092A9DF"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xml:space="preserve"> </w:t>
      </w:r>
      <w:r w:rsidRPr="0046086B">
        <w:rPr>
          <w:rStyle w:val="Textoennegrita"/>
          <w:b w:val="0"/>
          <w:i/>
          <w:color w:val="000000" w:themeColor="text1"/>
          <w:sz w:val="16"/>
          <w:szCs w:val="16"/>
          <w:shd w:val="clear" w:color="auto" w:fill="FFFFFF"/>
        </w:rPr>
        <w:t>Caso Díaz Peña Vs. Venezuela. Excepción Preliminar, Fondo, Reparaciones y Costas.</w:t>
      </w:r>
      <w:r w:rsidRPr="0046086B">
        <w:rPr>
          <w:rStyle w:val="Textoennegrita"/>
          <w:b w:val="0"/>
          <w:color w:val="000000" w:themeColor="text1"/>
          <w:sz w:val="16"/>
          <w:szCs w:val="16"/>
          <w:shd w:val="clear" w:color="auto" w:fill="FFFFFF"/>
        </w:rPr>
        <w:t xml:space="preserve"> Sentencia de 26 de junio de 2012. Serie C No. 244, párr. 33. </w:t>
      </w:r>
    </w:p>
  </w:footnote>
  <w:footnote w:id="14">
    <w:p w14:paraId="5F9F1E52" w14:textId="766FA2B1" w:rsidR="005579C3" w:rsidRPr="0046086B" w:rsidRDefault="005579C3" w:rsidP="0046086B">
      <w:pPr>
        <w:pStyle w:val="Textonotapie"/>
        <w:tabs>
          <w:tab w:val="left" w:pos="567"/>
          <w:tab w:val="left" w:pos="709"/>
        </w:tabs>
        <w:rPr>
          <w:sz w:val="16"/>
          <w:szCs w:val="16"/>
        </w:rPr>
      </w:pPr>
      <w:r w:rsidRPr="0046086B">
        <w:rPr>
          <w:rStyle w:val="Refdenotaalpie"/>
          <w:sz w:val="16"/>
          <w:szCs w:val="16"/>
        </w:rPr>
        <w:footnoteRef/>
      </w:r>
      <w:r w:rsidRPr="0046086B">
        <w:rPr>
          <w:sz w:val="16"/>
          <w:szCs w:val="16"/>
        </w:rPr>
        <w:t xml:space="preserve"> </w:t>
      </w:r>
      <w:r w:rsidRPr="0046086B">
        <w:rPr>
          <w:sz w:val="16"/>
          <w:szCs w:val="16"/>
        </w:rPr>
        <w:tab/>
      </w:r>
      <w:r w:rsidRPr="0046086B">
        <w:rPr>
          <w:i/>
          <w:iCs/>
          <w:sz w:val="16"/>
          <w:szCs w:val="16"/>
        </w:rPr>
        <w:t>Cfr. Caso Díaz Peña Vs. Venezuela, supra,</w:t>
      </w:r>
      <w:r w:rsidRPr="0046086B">
        <w:rPr>
          <w:sz w:val="16"/>
          <w:szCs w:val="16"/>
        </w:rPr>
        <w:t xml:space="preserve"> párr. 33, y </w:t>
      </w:r>
      <w:r w:rsidRPr="0046086B">
        <w:rPr>
          <w:i/>
          <w:iCs/>
          <w:sz w:val="16"/>
          <w:szCs w:val="16"/>
        </w:rPr>
        <w:t>Caso Galindo Cárdenas y otros Vs. Perú. Excepciones Preliminares, Fondo, Reparaciones y Costas.</w:t>
      </w:r>
      <w:r w:rsidRPr="0046086B">
        <w:rPr>
          <w:sz w:val="16"/>
          <w:szCs w:val="16"/>
        </w:rPr>
        <w:t xml:space="preserve"> Sentencia de 2 de octubre de 2015. Serie C No. 301, párr. 89.</w:t>
      </w:r>
    </w:p>
  </w:footnote>
  <w:footnote w:id="15">
    <w:p w14:paraId="28B09779" w14:textId="0AB8BFF7"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t xml:space="preserve">Informe de Fondo de la Comisión, No. 114/18, Caso 12.722, </w:t>
      </w:r>
      <w:r w:rsidRPr="0046086B">
        <w:rPr>
          <w:i/>
          <w:color w:val="000000" w:themeColor="text1"/>
          <w:sz w:val="16"/>
          <w:szCs w:val="16"/>
        </w:rPr>
        <w:t xml:space="preserve">Pedro Basilio Roche Azaña y Otro – </w:t>
      </w:r>
      <w:r w:rsidRPr="0046086B">
        <w:rPr>
          <w:color w:val="000000" w:themeColor="text1"/>
          <w:sz w:val="16"/>
          <w:szCs w:val="16"/>
        </w:rPr>
        <w:t>Nicaragua, de 5 de octubre de 2012, OEA/Ser.L/V/II.169, Doc. 131 (expediente de fondo, folio 10).</w:t>
      </w:r>
    </w:p>
  </w:footnote>
  <w:footnote w:id="16">
    <w:p w14:paraId="3618996B" w14:textId="7957F53F" w:rsidR="005579C3" w:rsidRPr="0046086B" w:rsidRDefault="005579C3" w:rsidP="0046086B">
      <w:pPr>
        <w:pStyle w:val="Textonotapie"/>
        <w:tabs>
          <w:tab w:val="left" w:pos="567"/>
          <w:tab w:val="left" w:pos="709"/>
        </w:tabs>
        <w:rPr>
          <w:color w:val="000000" w:themeColor="text1"/>
          <w:sz w:val="16"/>
          <w:szCs w:val="16"/>
          <w:lang w:val="es-ES"/>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lang w:val="es-ES"/>
        </w:rPr>
        <w:tab/>
      </w:r>
      <w:r w:rsidRPr="0046086B">
        <w:rPr>
          <w:i/>
          <w:iCs/>
          <w:color w:val="000000" w:themeColor="text1"/>
          <w:sz w:val="16"/>
          <w:szCs w:val="16"/>
          <w:lang w:val="es-ES"/>
        </w:rPr>
        <w:t>Cfr</w:t>
      </w:r>
      <w:r w:rsidRPr="0046086B">
        <w:rPr>
          <w:color w:val="000000" w:themeColor="text1"/>
          <w:sz w:val="16"/>
          <w:szCs w:val="16"/>
          <w:lang w:val="es-ES"/>
        </w:rPr>
        <w:t>. Certificado de nacimiento de Pedro Bacilio Roche Azaña (expediente de prueba, folio 2514), y Certificado de nacimiento de Patricio Fernando Roche Azaña (expediente de prueba, folio 2515).</w:t>
      </w:r>
    </w:p>
  </w:footnote>
  <w:footnote w:id="17">
    <w:p w14:paraId="7874347D" w14:textId="0908BCD3"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xml:space="preserve">. Declaración </w:t>
      </w:r>
      <w:r w:rsidRPr="0046086B">
        <w:rPr>
          <w:i/>
          <w:color w:val="000000" w:themeColor="text1"/>
          <w:sz w:val="16"/>
          <w:szCs w:val="16"/>
        </w:rPr>
        <w:t>ad-inquerendum</w:t>
      </w:r>
      <w:r w:rsidRPr="0046086B">
        <w:rPr>
          <w:color w:val="000000" w:themeColor="text1"/>
          <w:sz w:val="16"/>
          <w:szCs w:val="16"/>
        </w:rPr>
        <w:t xml:space="preserve"> realizada por el Juez Primero de Distrito del Crimen del Departamento de Chinandega a M.Q.P., de 3 de mayo de 1996 (expediente de prueba, folio 3203).</w:t>
      </w:r>
    </w:p>
  </w:footnote>
  <w:footnote w:id="18">
    <w:p w14:paraId="220EF7F5" w14:textId="3FBB4549"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xml:space="preserve">. Declaración de J.F.G.C. ante la Policía Nacional, de 19 de abril de 1996 (expediente de prueba, folio 449); Declaración indagatoria de J.M.R.V. ante el Juez Primero de Distrito del Crimen de Chinandega, de 29 de abril de 1996 (expediente de prueba, folio 448), y </w:t>
      </w:r>
      <w:r w:rsidRPr="0046086B">
        <w:rPr>
          <w:rFonts w:cs="Calibri"/>
          <w:color w:val="000000" w:themeColor="text1"/>
          <w:sz w:val="16"/>
          <w:szCs w:val="16"/>
          <w:lang w:eastAsia="en-US"/>
        </w:rPr>
        <w:t>Declaración de R.J.S.O. ante la Policía Nacional, de 21 de abril de 1996 (expediente de prueba, folio 2071).</w:t>
      </w:r>
    </w:p>
  </w:footnote>
  <w:footnote w:id="19">
    <w:p w14:paraId="4B8AB48F" w14:textId="1507A1A1"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Declaración de G.P.D ante la Policía Nacional, de 18 de abril de 1996 (expediente de prueba, folio 418), y Declaración indagatoria de J.M.R.V. ante el Juez Primero de Distrito del Crimen de Chinandega, de 29 de abril de 1996 (expediente de prueba, folio 2073).</w:t>
      </w:r>
      <w:r w:rsidRPr="0046086B">
        <w:rPr>
          <w:rFonts w:cs="Calibri"/>
          <w:color w:val="000000" w:themeColor="text1"/>
          <w:sz w:val="16"/>
          <w:szCs w:val="16"/>
          <w:lang w:eastAsia="en-US"/>
        </w:rPr>
        <w:t xml:space="preserve"> </w:t>
      </w:r>
    </w:p>
  </w:footnote>
  <w:footnote w:id="20">
    <w:p w14:paraId="75643C4E" w14:textId="0DE283BE"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xml:space="preserve">. Declaración indagatoria de S.A.V.B. ante el Juez Primero de Distrito del Crimen de Chinandega, de 29 de abril de 1996 (expediente de prueba, folio 1110), y declaración </w:t>
      </w:r>
      <w:r w:rsidRPr="0046086B">
        <w:rPr>
          <w:i/>
          <w:color w:val="000000" w:themeColor="text1"/>
          <w:sz w:val="16"/>
          <w:szCs w:val="16"/>
        </w:rPr>
        <w:t>ad-inquerendum</w:t>
      </w:r>
      <w:r w:rsidRPr="0046086B">
        <w:rPr>
          <w:color w:val="000000" w:themeColor="text1"/>
          <w:sz w:val="16"/>
          <w:szCs w:val="16"/>
        </w:rPr>
        <w:t xml:space="preserve"> realizada por el Juez Primero de Distrito del Crimen del Departamento de Chinandega a N.D.S., de 3 de mayo de 1996 (expediente de prueba, folios 2488 a 2493).</w:t>
      </w:r>
    </w:p>
  </w:footnote>
  <w:footnote w:id="21">
    <w:p w14:paraId="2A77AB36" w14:textId="749D561C"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i/>
          <w:color w:val="000000" w:themeColor="text1"/>
          <w:sz w:val="16"/>
          <w:szCs w:val="16"/>
        </w:rPr>
        <w:t xml:space="preserve"> </w:t>
      </w:r>
      <w:r w:rsidRPr="0046086B">
        <w:rPr>
          <w:i/>
          <w:color w:val="000000" w:themeColor="text1"/>
          <w:sz w:val="16"/>
          <w:szCs w:val="16"/>
        </w:rPr>
        <w:tab/>
        <w:t>Cfr</w:t>
      </w:r>
      <w:r w:rsidRPr="0046086B">
        <w:rPr>
          <w:color w:val="000000" w:themeColor="text1"/>
          <w:sz w:val="16"/>
          <w:szCs w:val="16"/>
        </w:rPr>
        <w:t>. Declaración de J.F.G.C. ante la Policía Nacional, de 19 de abril de 1996 (expediente de prueba, folio 448), y declaración de S.A.V.B. ante la Policía Nacional, de 21 de abril de 1996 (expediente de prueba, folio 479).</w:t>
      </w:r>
    </w:p>
  </w:footnote>
  <w:footnote w:id="22">
    <w:p w14:paraId="772D6C53" w14:textId="52A68D84"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xml:space="preserve">. </w:t>
      </w:r>
      <w:r w:rsidRPr="0046086B">
        <w:rPr>
          <w:rFonts w:cs="Calibri"/>
          <w:color w:val="000000" w:themeColor="text1"/>
          <w:sz w:val="16"/>
          <w:szCs w:val="16"/>
          <w:lang w:eastAsia="en-US"/>
        </w:rPr>
        <w:t>Declaración indagatoria de F.S.O.N ante el Juez Primero de Distrito del Crimen de Chinandega, de 29 de abril de 1996 (expediente de prueba, folio 1115), y</w:t>
      </w:r>
      <w:r w:rsidRPr="0046086B">
        <w:rPr>
          <w:color w:val="000000" w:themeColor="text1"/>
          <w:sz w:val="16"/>
          <w:szCs w:val="16"/>
        </w:rPr>
        <w:t xml:space="preserve"> Auto de segura y formal prisión, dictado por el Juzgado Primero de Distrito del Crimen, de 6 de mayo de 1996 (expediente de prueba, folio 3287).</w:t>
      </w:r>
    </w:p>
  </w:footnote>
  <w:footnote w:id="23">
    <w:p w14:paraId="24A1961A" w14:textId="535DB983"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rFonts w:cs="Calibri"/>
          <w:i/>
          <w:color w:val="000000" w:themeColor="text1"/>
          <w:sz w:val="16"/>
          <w:szCs w:val="16"/>
          <w:lang w:eastAsia="en-US"/>
        </w:rPr>
        <w:t>Cfr</w:t>
      </w:r>
      <w:r w:rsidRPr="0046086B">
        <w:rPr>
          <w:rFonts w:cs="Calibri"/>
          <w:color w:val="000000" w:themeColor="text1"/>
          <w:sz w:val="16"/>
          <w:szCs w:val="16"/>
          <w:lang w:eastAsia="en-US"/>
        </w:rPr>
        <w:t>. Declaración indagatoria de R.J.S.O. ante el Juez Primero de Distrito del Crimen de Chinandega, de 29 de abril de 1996 (expediente de prueba, folio 2068), y</w:t>
      </w:r>
      <w:r w:rsidRPr="0046086B">
        <w:rPr>
          <w:color w:val="000000" w:themeColor="text1"/>
          <w:sz w:val="16"/>
          <w:szCs w:val="16"/>
        </w:rPr>
        <w:t xml:space="preserve"> Auto de segura y formal prisión, dictado por el Juzgado Primero de Distrito del Crimen, de 6 de mayo de 1996 (expediente de prueba, folio 3285).</w:t>
      </w:r>
    </w:p>
  </w:footnote>
  <w:footnote w:id="24">
    <w:p w14:paraId="643DF589" w14:textId="6AD382FF" w:rsidR="005579C3" w:rsidRPr="0046086B" w:rsidRDefault="005579C3" w:rsidP="0046086B">
      <w:pPr>
        <w:pStyle w:val="Textonotapie"/>
        <w:tabs>
          <w:tab w:val="left" w:pos="567"/>
          <w:tab w:val="left" w:pos="709"/>
        </w:tabs>
        <w:rPr>
          <w:color w:val="000000" w:themeColor="text1"/>
          <w:sz w:val="16"/>
          <w:szCs w:val="16"/>
          <w:lang w:val="es-CR"/>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rFonts w:cs="Calibri"/>
          <w:i/>
          <w:color w:val="000000" w:themeColor="text1"/>
          <w:sz w:val="16"/>
          <w:szCs w:val="16"/>
          <w:lang w:val="es-CR" w:eastAsia="en-US"/>
        </w:rPr>
        <w:t>Cfr</w:t>
      </w:r>
      <w:r w:rsidRPr="0046086B">
        <w:rPr>
          <w:rFonts w:cs="Calibri"/>
          <w:color w:val="000000" w:themeColor="text1"/>
          <w:sz w:val="16"/>
          <w:szCs w:val="16"/>
          <w:lang w:val="es-CR" w:eastAsia="en-US"/>
        </w:rPr>
        <w:t>. Declaración de J.M.R.V. ante la Policía Nacional, de 19 de abril de 1996 (expediente de prueba, folio 489).</w:t>
      </w:r>
    </w:p>
  </w:footnote>
  <w:footnote w:id="25">
    <w:p w14:paraId="7EE66ADF" w14:textId="0E8E7FC2"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xml:space="preserve">. Declaración de J.F.G.C. ante la Policía Nacional, de 19 de abril de 1996 (expediente de prueba, folio 448). </w:t>
      </w:r>
    </w:p>
  </w:footnote>
  <w:footnote w:id="26">
    <w:p w14:paraId="23BE99FF" w14:textId="4DA2C7A8" w:rsidR="005579C3" w:rsidRPr="0046086B" w:rsidRDefault="005579C3" w:rsidP="0046086B">
      <w:pPr>
        <w:pStyle w:val="Textonotapie"/>
        <w:tabs>
          <w:tab w:val="left" w:pos="567"/>
          <w:tab w:val="left" w:pos="709"/>
        </w:tabs>
        <w:rPr>
          <w:color w:val="000000" w:themeColor="text1"/>
          <w:sz w:val="16"/>
          <w:szCs w:val="16"/>
          <w:highlight w:val="yellow"/>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rFonts w:cs="Calibri"/>
          <w:i/>
          <w:color w:val="000000" w:themeColor="text1"/>
          <w:sz w:val="16"/>
          <w:szCs w:val="16"/>
          <w:lang w:eastAsia="en-US"/>
        </w:rPr>
        <w:t>Cfr</w:t>
      </w:r>
      <w:r w:rsidRPr="0046086B">
        <w:rPr>
          <w:rFonts w:cs="Calibri"/>
          <w:color w:val="000000" w:themeColor="text1"/>
          <w:sz w:val="16"/>
          <w:szCs w:val="16"/>
          <w:lang w:eastAsia="en-US"/>
        </w:rPr>
        <w:t xml:space="preserve">. </w:t>
      </w:r>
      <w:r w:rsidRPr="0046086B">
        <w:rPr>
          <w:color w:val="000000" w:themeColor="text1"/>
          <w:sz w:val="16"/>
          <w:szCs w:val="16"/>
        </w:rPr>
        <w:t>Declaración indagatoria de S.A.V.B. ante el Juez Primero de Distrito del Crimen de Chinandega, de 29 de abril de 1996 (expediente de prueba, folio 1110)</w:t>
      </w:r>
      <w:r w:rsidRPr="0046086B">
        <w:rPr>
          <w:rFonts w:cs="Calibri"/>
          <w:color w:val="000000" w:themeColor="text1"/>
          <w:sz w:val="16"/>
          <w:szCs w:val="16"/>
          <w:lang w:eastAsia="en-US"/>
        </w:rPr>
        <w:t>.</w:t>
      </w:r>
    </w:p>
  </w:footnote>
  <w:footnote w:id="27">
    <w:p w14:paraId="37CDF86B" w14:textId="7CFFC58E"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Declaración indagatoria de J.M.R.V. ante el Juez Primero de Distrito del Crimen de Chinandega, de 29 de abril de 1996 (expediente de prueba, folio 448), y declaración de A.J.V.G. ante la Policía Nacional, de 20 de abril de 1996 (expediente de prueba, folio 2704).</w:t>
      </w:r>
    </w:p>
  </w:footnote>
  <w:footnote w:id="28">
    <w:p w14:paraId="24C62A71" w14:textId="04C6F712"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Declaración indagatoria de J.M.R.V. ante el Juez Primero de Distrito del Crimen de Chinandega, de 29 de abril de 1996 (expediente de prueba, folio 448); d</w:t>
      </w:r>
      <w:r w:rsidRPr="0046086B">
        <w:rPr>
          <w:rFonts w:cs="Calibri"/>
          <w:color w:val="000000" w:themeColor="text1"/>
          <w:sz w:val="16"/>
          <w:szCs w:val="16"/>
          <w:lang w:val="es-CR" w:eastAsia="en-US"/>
        </w:rPr>
        <w:t>eclaración de J.M.R.V. ante la Policía Nacional, de 19 de abril de 1996 (expediente de prueba, folio 448)</w:t>
      </w:r>
      <w:r w:rsidRPr="0046086B">
        <w:rPr>
          <w:rFonts w:cs="Calibri"/>
          <w:color w:val="000000" w:themeColor="text1"/>
          <w:sz w:val="16"/>
          <w:szCs w:val="16"/>
          <w:lang w:eastAsia="en-US"/>
        </w:rPr>
        <w:t xml:space="preserve">; </w:t>
      </w:r>
      <w:r w:rsidRPr="0046086B">
        <w:rPr>
          <w:color w:val="000000" w:themeColor="text1"/>
          <w:sz w:val="16"/>
          <w:szCs w:val="16"/>
        </w:rPr>
        <w:t>declaración indagatoria de J.M.R.V. ante el Juez Primero de Distrito del Crimen de Chinandega, de 29 de abril de 1996 (expediente de prueba, folio 448)</w:t>
      </w:r>
      <w:r w:rsidRPr="0046086B">
        <w:rPr>
          <w:rFonts w:cs="Calibri"/>
          <w:color w:val="000000" w:themeColor="text1"/>
          <w:sz w:val="16"/>
          <w:szCs w:val="16"/>
          <w:lang w:eastAsia="en-US"/>
        </w:rPr>
        <w:t>, y declaración de F.S.O.N ante la Policía Nacional, de 21 de abril de 1996 (expediente de prueba, folio 483.</w:t>
      </w:r>
    </w:p>
  </w:footnote>
  <w:footnote w:id="29">
    <w:p w14:paraId="4B130AFF" w14:textId="226314BB"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t xml:space="preserve">Las personas que recibieron impactos de proyectil de arma de fuego fueron Pedro Bacilio Roche Azaña, Patricio Fernando Roche Azaña, M.Q.P., N.D.S., A.C.S. y M.C. </w:t>
      </w:r>
      <w:r w:rsidRPr="0046086B">
        <w:rPr>
          <w:i/>
          <w:color w:val="000000" w:themeColor="text1"/>
          <w:sz w:val="16"/>
          <w:szCs w:val="16"/>
        </w:rPr>
        <w:t>Cfr</w:t>
      </w:r>
      <w:r w:rsidRPr="0046086B">
        <w:rPr>
          <w:color w:val="000000" w:themeColor="text1"/>
          <w:sz w:val="16"/>
          <w:szCs w:val="16"/>
        </w:rPr>
        <w:t>. Auto de segura y formal prisión, dictado por el Juzgado Primero de Distrito del Crimen, de 6 de mayo de 1996 (expediente de prueba, folio 3291</w:t>
      </w:r>
    </w:p>
  </w:footnote>
  <w:footnote w:id="30">
    <w:p w14:paraId="4F6A9931" w14:textId="185CE88E"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xml:space="preserve">. Primer dictamen médico sobre Pedro Bacilio Roche Azaña, Médico Forense de Chinandega, 15 de abril de 1996 (expediente de prueba, folio 396). Ver también, Segundo dictamen médico sobre Pedro Bacilio Roche Azaña, Médico Forense de Chinandega, de 18 de abril de 1996 (expediente de prueba, folio 398). </w:t>
      </w:r>
    </w:p>
  </w:footnote>
  <w:footnote w:id="31">
    <w:p w14:paraId="22053E6B" w14:textId="52C6A444" w:rsidR="005579C3" w:rsidRPr="0046086B" w:rsidRDefault="005579C3" w:rsidP="0046086B">
      <w:pPr>
        <w:pStyle w:val="Textonotapie"/>
        <w:tabs>
          <w:tab w:val="left" w:pos="567"/>
          <w:tab w:val="left" w:pos="709"/>
        </w:tabs>
        <w:rPr>
          <w:color w:val="000000" w:themeColor="text1"/>
          <w:sz w:val="16"/>
          <w:szCs w:val="16"/>
          <w:lang w:val="es-CR"/>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lang w:val="es-CR"/>
        </w:rPr>
        <w:tab/>
      </w:r>
      <w:r w:rsidRPr="0046086B">
        <w:rPr>
          <w:i/>
          <w:color w:val="000000" w:themeColor="text1"/>
          <w:sz w:val="16"/>
          <w:szCs w:val="16"/>
          <w:lang w:val="es-CR"/>
        </w:rPr>
        <w:t>Cfr</w:t>
      </w:r>
      <w:r w:rsidRPr="0046086B">
        <w:rPr>
          <w:color w:val="000000" w:themeColor="text1"/>
          <w:sz w:val="16"/>
          <w:szCs w:val="16"/>
          <w:lang w:val="es-CR"/>
        </w:rPr>
        <w:t xml:space="preserve">. Dictamen médico sobre Patricio Fernando Roche Azaña, Médico Forense de Chinandega, de 18 de abril de 1996 (expediente de prueba, folio 400). </w:t>
      </w:r>
    </w:p>
  </w:footnote>
  <w:footnote w:id="32">
    <w:p w14:paraId="0A25B1F9" w14:textId="413E3625"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xml:space="preserve">. Declaración </w:t>
      </w:r>
      <w:r w:rsidRPr="0046086B">
        <w:rPr>
          <w:i/>
          <w:color w:val="000000" w:themeColor="text1"/>
          <w:sz w:val="16"/>
          <w:szCs w:val="16"/>
        </w:rPr>
        <w:t>ad-inquerendum</w:t>
      </w:r>
      <w:r w:rsidRPr="0046086B">
        <w:rPr>
          <w:color w:val="000000" w:themeColor="text1"/>
          <w:sz w:val="16"/>
          <w:szCs w:val="16"/>
        </w:rPr>
        <w:t xml:space="preserve"> realizada por el Juez Primero de Distrito del Crimen del Departamento de Chinandega a N.D.S., de 3 de mayo de 1996 (expediente de prueba, folio 2489), y declaración </w:t>
      </w:r>
      <w:r w:rsidRPr="0046086B">
        <w:rPr>
          <w:i/>
          <w:color w:val="000000" w:themeColor="text1"/>
          <w:sz w:val="16"/>
          <w:szCs w:val="16"/>
        </w:rPr>
        <w:t>ad-inquerendum</w:t>
      </w:r>
      <w:r w:rsidRPr="0046086B">
        <w:rPr>
          <w:color w:val="000000" w:themeColor="text1"/>
          <w:sz w:val="16"/>
          <w:szCs w:val="16"/>
        </w:rPr>
        <w:t xml:space="preserve"> realizada por el Juez Primero de Distrito del Crimen del Departamento de Chinandega a M.Q.P., de 30 de abril de 1996 (expediente de prueba, folio 3201).</w:t>
      </w:r>
    </w:p>
  </w:footnote>
  <w:footnote w:id="33">
    <w:p w14:paraId="7C9E748A" w14:textId="1B660862" w:rsidR="005579C3" w:rsidRPr="0046086B" w:rsidRDefault="005579C3" w:rsidP="0046086B">
      <w:pPr>
        <w:pStyle w:val="Textonotapie"/>
        <w:tabs>
          <w:tab w:val="left" w:pos="567"/>
          <w:tab w:val="left" w:pos="709"/>
        </w:tabs>
        <w:rPr>
          <w:sz w:val="16"/>
          <w:szCs w:val="16"/>
          <w:lang w:val="es-ES"/>
        </w:rPr>
      </w:pPr>
      <w:r w:rsidRPr="0046086B">
        <w:rPr>
          <w:rStyle w:val="Refdenotaalpie"/>
          <w:sz w:val="16"/>
          <w:szCs w:val="16"/>
        </w:rPr>
        <w:footnoteRef/>
      </w:r>
      <w:r w:rsidRPr="0046086B">
        <w:rPr>
          <w:sz w:val="16"/>
          <w:szCs w:val="16"/>
        </w:rPr>
        <w:t xml:space="preserve"> </w:t>
      </w:r>
      <w:r w:rsidRPr="0046086B">
        <w:rPr>
          <w:sz w:val="16"/>
          <w:szCs w:val="16"/>
          <w:lang w:val="es-ES"/>
        </w:rPr>
        <w:tab/>
      </w:r>
      <w:r w:rsidRPr="0046086B">
        <w:rPr>
          <w:i/>
          <w:iCs/>
          <w:sz w:val="16"/>
          <w:szCs w:val="16"/>
          <w:lang w:val="es-ES"/>
        </w:rPr>
        <w:t>Cfr</w:t>
      </w:r>
      <w:r w:rsidRPr="0046086B">
        <w:rPr>
          <w:sz w:val="16"/>
          <w:szCs w:val="16"/>
          <w:lang w:val="es-ES"/>
        </w:rPr>
        <w:t>. Declaración de Juan Izquierdo Narváez ante la Policía Nacional, de 18 de abril de 1996 (expediente de prueba, folio 2087), y declaración de Rómulo Eulogio Gutiérrez Pezante, de 18 de abril de 1996 (expediente de prueba, folios 2338 y 2339).</w:t>
      </w:r>
    </w:p>
  </w:footnote>
  <w:footnote w:id="34">
    <w:p w14:paraId="6B3EE41A" w14:textId="5E01134A"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xml:space="preserve">. </w:t>
      </w:r>
      <w:r w:rsidRPr="0046086B">
        <w:rPr>
          <w:rFonts w:cs="Calibri"/>
          <w:color w:val="000000" w:themeColor="text1"/>
          <w:sz w:val="16"/>
          <w:szCs w:val="16"/>
          <w:lang w:val="es-CR" w:eastAsia="en-US"/>
        </w:rPr>
        <w:t xml:space="preserve">Declaración de Patricio Fernando Roche Azaña en la Audiencia Pública celebrada ante esta Corte el 4 de febrero de 2020, declaración por </w:t>
      </w:r>
      <w:r w:rsidRPr="0046086B">
        <w:rPr>
          <w:rFonts w:cs="Calibri"/>
          <w:i/>
          <w:iCs/>
          <w:color w:val="000000" w:themeColor="text1"/>
          <w:sz w:val="16"/>
          <w:szCs w:val="16"/>
          <w:lang w:val="es-CR" w:eastAsia="en-US"/>
        </w:rPr>
        <w:t>afidavit</w:t>
      </w:r>
      <w:r w:rsidRPr="0046086B">
        <w:rPr>
          <w:rFonts w:cs="Calibri"/>
          <w:color w:val="000000" w:themeColor="text1"/>
          <w:sz w:val="16"/>
          <w:szCs w:val="16"/>
          <w:lang w:val="es-CR" w:eastAsia="en-US"/>
        </w:rPr>
        <w:t xml:space="preserve"> de R.E.G.P., de 10 de e enero de 2020 (expediente de prueba, folio 3563), </w:t>
      </w:r>
      <w:r w:rsidRPr="0046086B">
        <w:rPr>
          <w:sz w:val="16"/>
          <w:szCs w:val="16"/>
          <w:lang w:val="es-ES"/>
        </w:rPr>
        <w:t>y declaración de H.M.C.R. ante la Policía Nacional, de 18 de abril de 1996 (expediente de prueba, folio 2341).</w:t>
      </w:r>
    </w:p>
  </w:footnote>
  <w:footnote w:id="35">
    <w:p w14:paraId="13426D44" w14:textId="004707C7"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xml:space="preserve">. Declaración </w:t>
      </w:r>
      <w:r w:rsidRPr="0046086B">
        <w:rPr>
          <w:i/>
          <w:color w:val="000000" w:themeColor="text1"/>
          <w:sz w:val="16"/>
          <w:szCs w:val="16"/>
        </w:rPr>
        <w:t>ad-inquerendum</w:t>
      </w:r>
      <w:r w:rsidRPr="0046086B">
        <w:rPr>
          <w:color w:val="000000" w:themeColor="text1"/>
          <w:sz w:val="16"/>
          <w:szCs w:val="16"/>
        </w:rPr>
        <w:t xml:space="preserve"> realizada por el Juez Primero de Distrito del Crimen del Departamento de Chinandega a M.Q.P., de 30 de abril de 1996 (expediente de prueba, folio 3200), y declaración </w:t>
      </w:r>
      <w:r w:rsidRPr="0046086B">
        <w:rPr>
          <w:i/>
          <w:iCs/>
          <w:color w:val="000000" w:themeColor="text1"/>
          <w:sz w:val="16"/>
          <w:szCs w:val="16"/>
        </w:rPr>
        <w:t>ad-inquerendum</w:t>
      </w:r>
      <w:r w:rsidRPr="0046086B">
        <w:rPr>
          <w:color w:val="000000" w:themeColor="text1"/>
          <w:sz w:val="16"/>
          <w:szCs w:val="16"/>
        </w:rPr>
        <w:t xml:space="preserve"> realizada por el Juez Primero de Distrito del Crimen del Departamento de Chinandega a N.D.S., de 3 de mayo de 1996 (expediente de prueba, folio 2490). Ver también, </w:t>
      </w:r>
      <w:r w:rsidRPr="0046086B">
        <w:rPr>
          <w:rFonts w:cs="Calibri"/>
          <w:color w:val="000000" w:themeColor="text1"/>
          <w:sz w:val="16"/>
          <w:szCs w:val="16"/>
          <w:lang w:val="es-CR" w:eastAsia="en-US"/>
        </w:rPr>
        <w:t>declaración de Patricio Fernando Roche Azaña en la Audiencia Pública celebrada ante esta Corte el 4 de febrero de 2020.</w:t>
      </w:r>
    </w:p>
  </w:footnote>
  <w:footnote w:id="36">
    <w:p w14:paraId="39E2F059" w14:textId="0B6D0D99" w:rsidR="005579C3" w:rsidRPr="0046086B" w:rsidRDefault="005579C3" w:rsidP="0046086B">
      <w:pPr>
        <w:pStyle w:val="Textonotapie"/>
        <w:tabs>
          <w:tab w:val="left" w:pos="567"/>
          <w:tab w:val="left" w:pos="709"/>
        </w:tabs>
        <w:rPr>
          <w:b/>
          <w:bCs/>
          <w:strike/>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xml:space="preserve">. Primer dictamen médico sobre Pedro Bacilio Roche Azaña, Médico Forense de Chinandega, de 15 de abril de 1996 (expediente de prueba, folio 396); Segundo dictamen médico sobre Pedro Bacilio Roche Azaña, Médico Forense de Chinandega, de 18 de abril de 1996 (expediente de prueba, folio 398); Procedimiento para preparación y preservación de cadáver, de 27 de abril de 1997 (expediente de prueba, folio 2203); </w:t>
      </w:r>
      <w:r w:rsidRPr="0046086B">
        <w:rPr>
          <w:rFonts w:cs="Calibri"/>
          <w:color w:val="000000" w:themeColor="text1"/>
          <w:sz w:val="16"/>
          <w:szCs w:val="16"/>
          <w:lang w:val="es-CR" w:eastAsia="en-US"/>
        </w:rPr>
        <w:t>declaración de Patricio Fernando Roche Azaña en la Audiencia Pública celebrada ante esta Corte el 4 de febrero de 2020, y declaración de María Angelita Azaña Tenesaca en la Audiencia Pública celebrada ante esta Corte el 4 de febrero de 2020.</w:t>
      </w:r>
    </w:p>
  </w:footnote>
  <w:footnote w:id="37">
    <w:p w14:paraId="1F821EF3" w14:textId="46AA6C99"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Dictamen médico sobre Patricio Fernando Roche Azaña, Médico Forense de Chinandega, de 17 de abril de 1996 (expediente de prueba, folio 400); Dictamen médico sobre Patricio Fernando Roche Azaña, Médico Forense de Chinandega, de 26 de abril de 1996 (expediente de prueba, folio 1124).</w:t>
      </w:r>
    </w:p>
  </w:footnote>
  <w:footnote w:id="38">
    <w:p w14:paraId="534210A1" w14:textId="0B321B84"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Dictamen médico sobre Patricio Fernando Roche Azaña, Médico Forense de Chinandega, de 26 de abril de 1996 (expediente de prueba, folio 1124). Ver también,</w:t>
      </w:r>
      <w:r w:rsidRPr="0046086B">
        <w:rPr>
          <w:rFonts w:cs="Calibri"/>
          <w:color w:val="000000" w:themeColor="text1"/>
          <w:sz w:val="16"/>
          <w:szCs w:val="16"/>
          <w:lang w:eastAsia="en-US"/>
        </w:rPr>
        <w:t xml:space="preserve"> declaración de Patricio Fernando Roche Azaña en la Audiencia Pública celebrada ante esta Corte el 4 de febrero de 2020.</w:t>
      </w:r>
    </w:p>
  </w:footnote>
  <w:footnote w:id="39">
    <w:p w14:paraId="02978352" w14:textId="0B633406" w:rsidR="005579C3" w:rsidRPr="0046086B" w:rsidRDefault="005579C3" w:rsidP="0046086B">
      <w:pPr>
        <w:pStyle w:val="Textonotapie"/>
        <w:tabs>
          <w:tab w:val="left" w:pos="567"/>
          <w:tab w:val="left" w:pos="709"/>
        </w:tabs>
        <w:rPr>
          <w:color w:val="000000" w:themeColor="text1"/>
          <w:sz w:val="16"/>
          <w:szCs w:val="16"/>
          <w:lang w:val="es-CR"/>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xml:space="preserve">. </w:t>
      </w:r>
      <w:r w:rsidRPr="0046086B">
        <w:rPr>
          <w:rFonts w:cs="Calibri"/>
          <w:color w:val="000000" w:themeColor="text1"/>
          <w:sz w:val="16"/>
          <w:szCs w:val="16"/>
          <w:lang w:val="es-CR" w:eastAsia="en-US"/>
        </w:rPr>
        <w:t>Declaración de Patricio Fernando Roche Azaña en la Audiencia Pública celebrada ante esta Corte el 4 de febrero de 2020.</w:t>
      </w:r>
    </w:p>
  </w:footnote>
  <w:footnote w:id="40">
    <w:p w14:paraId="5F5B385E" w14:textId="2D7399C5"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Idem.</w:t>
      </w:r>
    </w:p>
  </w:footnote>
  <w:footnote w:id="41">
    <w:p w14:paraId="795F8FD4" w14:textId="5E360EAA" w:rsidR="005579C3" w:rsidRPr="0046086B" w:rsidRDefault="005579C3" w:rsidP="0046086B">
      <w:pPr>
        <w:pStyle w:val="Textonotapie"/>
        <w:tabs>
          <w:tab w:val="left" w:pos="567"/>
          <w:tab w:val="left" w:pos="709"/>
        </w:tabs>
        <w:rPr>
          <w:sz w:val="16"/>
          <w:szCs w:val="16"/>
          <w:lang w:val="es-ES"/>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iCs/>
          <w:color w:val="000000" w:themeColor="text1"/>
          <w:sz w:val="16"/>
          <w:szCs w:val="16"/>
        </w:rPr>
        <w:t>Cfr</w:t>
      </w:r>
      <w:r w:rsidRPr="0046086B">
        <w:rPr>
          <w:color w:val="000000" w:themeColor="text1"/>
          <w:sz w:val="16"/>
          <w:szCs w:val="16"/>
        </w:rPr>
        <w:t xml:space="preserve">. Declaración de F.A.C.P. ante la Policía Nacional, de 19 de abril de 1996 (expediente de prueba, folio 2410); declaración indagatoria de J.M.R.V. ante el Juez Primero de Distrito del Crimen de Chinandega, de 29 de abril de 1996 (expediente de prueba, folio 2073); declaración indagatoria de R.J.S.O ante el Juez Primero de Distrito del Crimen de Chinandega, de 29 de abril de 1996 (expediente de prueba, folio 2066); declaración indagatoria de S.A.V.B. ante el Juez Primero de Distrito del Crimen de Chinandega, de 29 de abril de 1996 (expediente de prueba, folio 2419); declaración indagatoria de F.S.O.N. ante el Juez Primero de Distrito del Crimen de Chinandega, de 29 de abril de 1996 (expediente de prueba, folio 2414), y declaración indagatoria de J.R.P.S. ante el Juez Primero de Distrito del Crimen de Chinandega, de 25 de abril de 1996 (expediente de prueba, folio 2424). </w:t>
      </w:r>
      <w:r w:rsidRPr="0046086B">
        <w:rPr>
          <w:sz w:val="16"/>
          <w:szCs w:val="16"/>
        </w:rPr>
        <w:t>Las restantes personas parte del procedimiento fueron M.Q.P.</w:t>
      </w:r>
      <w:r w:rsidRPr="0046086B">
        <w:rPr>
          <w:color w:val="000000" w:themeColor="text1"/>
          <w:sz w:val="16"/>
          <w:szCs w:val="16"/>
        </w:rPr>
        <w:t xml:space="preserve">, N.D.S., A.C.S. y M.C.R. </w:t>
      </w:r>
      <w:r w:rsidRPr="0046086B">
        <w:rPr>
          <w:i/>
          <w:color w:val="000000" w:themeColor="text1"/>
          <w:sz w:val="16"/>
          <w:szCs w:val="16"/>
        </w:rPr>
        <w:t>Cfr</w:t>
      </w:r>
      <w:r w:rsidRPr="0046086B">
        <w:rPr>
          <w:color w:val="000000" w:themeColor="text1"/>
          <w:sz w:val="16"/>
          <w:szCs w:val="16"/>
        </w:rPr>
        <w:t>. Auto de segura y formal prisión, dictado por el Juzgado Primero de Distrito del Crimen, de 6 de mayo de 1996 (expediente de prueba, folio 3291).</w:t>
      </w:r>
    </w:p>
  </w:footnote>
  <w:footnote w:id="42">
    <w:p w14:paraId="54D86476" w14:textId="496625B8"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iCs/>
          <w:color w:val="000000" w:themeColor="text1"/>
          <w:sz w:val="16"/>
          <w:szCs w:val="16"/>
        </w:rPr>
        <w:t>Cfr</w:t>
      </w:r>
      <w:r w:rsidRPr="0046086B">
        <w:rPr>
          <w:color w:val="000000" w:themeColor="text1"/>
          <w:sz w:val="16"/>
          <w:szCs w:val="16"/>
        </w:rPr>
        <w:t>. Actas de detención de F.A.C.P., J.M.R.V., R.J.S.O., S.A.V.B., F.S.O.N. y J.R.P.S (expediente de prueba, folios 2744 a 2762).</w:t>
      </w:r>
    </w:p>
  </w:footnote>
  <w:footnote w:id="43">
    <w:p w14:paraId="10711FEE" w14:textId="448EC9FD" w:rsidR="005579C3" w:rsidRPr="0046086B" w:rsidRDefault="005579C3" w:rsidP="0046086B">
      <w:pPr>
        <w:pStyle w:val="Textonotapie"/>
        <w:tabs>
          <w:tab w:val="left" w:pos="567"/>
          <w:tab w:val="left" w:pos="709"/>
        </w:tabs>
        <w:rPr>
          <w:color w:val="000000" w:themeColor="text1"/>
          <w:sz w:val="16"/>
          <w:szCs w:val="16"/>
          <w:lang w:val="es-CR"/>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lang w:val="es-CR"/>
        </w:rPr>
        <w:tab/>
      </w:r>
      <w:r w:rsidRPr="0046086B">
        <w:rPr>
          <w:i/>
          <w:color w:val="000000" w:themeColor="text1"/>
          <w:sz w:val="16"/>
          <w:szCs w:val="16"/>
          <w:lang w:val="es-CR"/>
        </w:rPr>
        <w:t>Cfr</w:t>
      </w:r>
      <w:r w:rsidRPr="0046086B">
        <w:rPr>
          <w:color w:val="000000" w:themeColor="text1"/>
          <w:sz w:val="16"/>
          <w:szCs w:val="16"/>
          <w:lang w:val="es-CR"/>
        </w:rPr>
        <w:t>. Constancia realizada por el Juez Primero de Distrito del Crimen del Departamento de Chinandega, de 30 de abril de 1996 (expediente de prueba, folio 3199), y</w:t>
      </w:r>
      <w:r w:rsidRPr="0046086B">
        <w:rPr>
          <w:color w:val="000000" w:themeColor="text1"/>
          <w:sz w:val="16"/>
          <w:szCs w:val="16"/>
        </w:rPr>
        <w:t xml:space="preserve"> Auto de segura y formal prisión, dictado por el Juzgado Primero de Distrito del Crimen, de 6 de mayo de 1996 (expediente de prueba, folio 3291).</w:t>
      </w:r>
    </w:p>
  </w:footnote>
  <w:footnote w:id="44">
    <w:p w14:paraId="13452AD4" w14:textId="01F32312" w:rsidR="005579C3" w:rsidRPr="0046086B" w:rsidRDefault="005579C3" w:rsidP="0046086B">
      <w:pPr>
        <w:pStyle w:val="Textonotapie"/>
        <w:tabs>
          <w:tab w:val="left" w:pos="567"/>
          <w:tab w:val="left" w:pos="709"/>
        </w:tabs>
        <w:rPr>
          <w:color w:val="000000" w:themeColor="text1"/>
          <w:sz w:val="16"/>
          <w:szCs w:val="16"/>
          <w:lang w:val="es-CR"/>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lang w:val="es-CR"/>
        </w:rPr>
        <w:tab/>
      </w:r>
      <w:r w:rsidRPr="0046086B">
        <w:rPr>
          <w:i/>
          <w:color w:val="000000" w:themeColor="text1"/>
          <w:sz w:val="16"/>
          <w:szCs w:val="16"/>
        </w:rPr>
        <w:t>Cfr</w:t>
      </w:r>
      <w:r w:rsidRPr="0046086B">
        <w:rPr>
          <w:color w:val="000000" w:themeColor="text1"/>
          <w:sz w:val="16"/>
          <w:szCs w:val="16"/>
        </w:rPr>
        <w:t xml:space="preserve">. Declaración </w:t>
      </w:r>
      <w:r w:rsidRPr="0046086B">
        <w:rPr>
          <w:i/>
          <w:color w:val="000000" w:themeColor="text1"/>
          <w:sz w:val="16"/>
          <w:szCs w:val="16"/>
        </w:rPr>
        <w:t>ad-inquerendum</w:t>
      </w:r>
      <w:r w:rsidRPr="0046086B">
        <w:rPr>
          <w:color w:val="000000" w:themeColor="text1"/>
          <w:sz w:val="16"/>
          <w:szCs w:val="16"/>
        </w:rPr>
        <w:t xml:space="preserve"> realizada por el Juez Primero de Distrito del Crimen del Departamento de Chinandega a M.Q.P., de 30 de abril de 1996 (expediente de prueba, folios 3200 a 3207), y Declaración </w:t>
      </w:r>
      <w:r w:rsidRPr="0046086B">
        <w:rPr>
          <w:i/>
          <w:color w:val="000000" w:themeColor="text1"/>
          <w:sz w:val="16"/>
          <w:szCs w:val="16"/>
        </w:rPr>
        <w:t>ad-inquerendum</w:t>
      </w:r>
      <w:r w:rsidRPr="0046086B">
        <w:rPr>
          <w:color w:val="000000" w:themeColor="text1"/>
          <w:sz w:val="16"/>
          <w:szCs w:val="16"/>
        </w:rPr>
        <w:t xml:space="preserve"> realizada por el Juez Primero de Distrito del Crimen del Departamento de Chinandega a N.D.S., de 3 de mayo de 1996 (expediente de prueba, folios 2488 a 2493). </w:t>
      </w:r>
    </w:p>
  </w:footnote>
  <w:footnote w:id="45">
    <w:p w14:paraId="6A8E3E89" w14:textId="5BEC7D24"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Auto de segura y formal prisión, dictado por el Juzgado Primero de Distrito del Crimen, de 6 de mayo de 1996 (expediente de prueba, folios 3279 a 3291).</w:t>
      </w:r>
    </w:p>
  </w:footnote>
  <w:footnote w:id="46">
    <w:p w14:paraId="7B57B04D" w14:textId="03AD7524"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iCs/>
          <w:color w:val="000000" w:themeColor="text1"/>
          <w:sz w:val="16"/>
          <w:szCs w:val="16"/>
        </w:rPr>
        <w:t>Cfr</w:t>
      </w:r>
      <w:r w:rsidRPr="0046086B">
        <w:rPr>
          <w:color w:val="000000" w:themeColor="text1"/>
          <w:sz w:val="16"/>
          <w:szCs w:val="16"/>
        </w:rPr>
        <w:t>. Sentencia dictada por la Sala de lo Criminal del Tribunal de Apelaciones, de 28 de agosto de 1996 (expediente de prueba, folios 3365 a 3372).</w:t>
      </w:r>
    </w:p>
  </w:footnote>
  <w:footnote w:id="47">
    <w:p w14:paraId="153EFBFA" w14:textId="32782CA6" w:rsidR="005579C3" w:rsidRPr="0046086B" w:rsidRDefault="005579C3" w:rsidP="0046086B">
      <w:pPr>
        <w:pStyle w:val="Textonotapie"/>
        <w:tabs>
          <w:tab w:val="left" w:pos="567"/>
          <w:tab w:val="left" w:pos="709"/>
        </w:tabs>
        <w:rPr>
          <w:sz w:val="16"/>
          <w:szCs w:val="16"/>
        </w:rPr>
      </w:pPr>
      <w:r w:rsidRPr="0046086B">
        <w:rPr>
          <w:rStyle w:val="Refdenotaalpie"/>
          <w:sz w:val="16"/>
          <w:szCs w:val="16"/>
        </w:rPr>
        <w:footnoteRef/>
      </w:r>
      <w:r w:rsidRPr="0046086B">
        <w:rPr>
          <w:sz w:val="16"/>
          <w:szCs w:val="16"/>
        </w:rPr>
        <w:t xml:space="preserve"> </w:t>
      </w:r>
      <w:r w:rsidRPr="0046086B">
        <w:rPr>
          <w:sz w:val="16"/>
          <w:szCs w:val="16"/>
        </w:rPr>
        <w:tab/>
        <w:t xml:space="preserve">El referido artículo señala que “[L]os delitos comunes que merezcan pena más que correccional deberán ser sometidos al conocimiento del Tribunal de Jurados, quien emitirá su veredicto de íntima convicción, pronunciándose sobre la responsabilidad del procesado, declarándolo inocente o culpable. Con este veredicto, el Juez de Distrito dictará su sentencia absolviendo, o imponiendo la pena” (expediente de prueba, folio </w:t>
      </w:r>
      <w:r w:rsidRPr="0046086B">
        <w:rPr>
          <w:sz w:val="16"/>
          <w:szCs w:val="16"/>
          <w:lang w:val="es-ES"/>
        </w:rPr>
        <w:t>3613</w:t>
      </w:r>
      <w:r w:rsidRPr="0046086B">
        <w:rPr>
          <w:sz w:val="16"/>
          <w:szCs w:val="16"/>
        </w:rPr>
        <w:t>).</w:t>
      </w:r>
    </w:p>
  </w:footnote>
  <w:footnote w:id="48">
    <w:p w14:paraId="62A48450" w14:textId="76B74A56" w:rsidR="005579C3" w:rsidRPr="0046086B" w:rsidRDefault="005579C3" w:rsidP="0046086B">
      <w:pPr>
        <w:pStyle w:val="Textonotapie"/>
        <w:tabs>
          <w:tab w:val="left" w:pos="567"/>
        </w:tabs>
        <w:rPr>
          <w:sz w:val="16"/>
          <w:szCs w:val="16"/>
        </w:rPr>
      </w:pPr>
      <w:r w:rsidRPr="0046086B">
        <w:rPr>
          <w:rStyle w:val="Refdenotaalpie"/>
          <w:sz w:val="16"/>
          <w:szCs w:val="16"/>
        </w:rPr>
        <w:footnoteRef/>
      </w:r>
      <w:r w:rsidRPr="0046086B">
        <w:rPr>
          <w:sz w:val="16"/>
          <w:szCs w:val="16"/>
        </w:rPr>
        <w:t xml:space="preserve"> </w:t>
      </w:r>
      <w:r w:rsidRPr="0046086B">
        <w:rPr>
          <w:sz w:val="16"/>
          <w:szCs w:val="16"/>
        </w:rPr>
        <w:tab/>
        <w:t xml:space="preserve">El expediente judicial constaba de numerosa diligencias de prueba, entre las que se destacan: la toma de 31 declaraciones de personas migrantes que iban en la furgoneta, las declaraciones de 8 testigos , las 21 declaraciones de agentes estatales que presenciaron los hechos, las 6 declaraciones de los procesados, informes sobre la inspección ocular del vehículo, dictámenes médicos sobre la muerte del señor Pedro Bacilio Roche Azaña y de las personas heridas, así como varios informes periciales balísticos, químicos y forenses sobre los hechos. </w:t>
      </w:r>
      <w:r w:rsidRPr="0046086B">
        <w:rPr>
          <w:i/>
          <w:iCs/>
          <w:sz w:val="16"/>
          <w:szCs w:val="16"/>
        </w:rPr>
        <w:t>Cfr</w:t>
      </w:r>
      <w:r w:rsidRPr="0046086B">
        <w:rPr>
          <w:sz w:val="16"/>
          <w:szCs w:val="16"/>
        </w:rPr>
        <w:t xml:space="preserve">. Declaraciones de: S.J.I. (expediente de prueba, folios 2086 a 2088); M.V.Q. (expediente de prueba, folio 2272); E.D.S. (expediente de prueba, folios 2273 a 2274); C.S.S. (expediente de prueba, folios 2275 a 2277); G.T.C. (expediente de prueba, folios 2278 a 2282); L.M.T.N. (expediente de prueba, folios 2283 2285); E.R.A.T. (expediente de prueba, folios 2286 a 2288); N.Q.F. (expediente de prueba, folios (2289 a 2291); M.I.Y.Q. (expediente de prueba, folios 2292 a 2294); J.M.P.R. (expediente de prueba, folios 2295 a 2297); R.H.P. (expediente de prueba, folio 2298); E.F.C.P. (expediente de prueba, folios 2299 a 2303); C.A.P. (expediente de prueba, folios 2304 a 2307); L.A.P.D. (expediente de prueba, folios 2308 a 2309); M.C.C.A. (expediente de prueba, folios 2310 a 2312); L.P.M. (expediente de prueba, folio 2313); T.C.P. (expediente de prueba, folio 2314); M.P.C.P. (expediente de prueba, folios 2315 a 2316); A.C.S. (expediente de prueba, folios 2317 a 2318); A.V.C. (expediente de prueba, folios 2319 a 2320); A.M.Y. (expediente de prueba, folios 232 a 2322; D.H.S.A. (expediente de prueba, folios 2323 a 2324); F.J.V.A. (expediente de prueba, folios 2325 a 2326); M.R.J.G. (expediente de prueba, folios 2327 a 2328); P.J.M.S. (expediente de prueba, folios 2329 a 2330); R.S.R. (expediente de prueba, folios 2331 a 2332); A.B.T. (expediente de prueba, folios 2333 a 2334); M.Q.P. (expediente de prueba, folios 2335 a 2336); Rómulo E.G.P. (expediente de prueba, folios 2337 a 2339); H.M.C.R. (expediente de prueba, folios 2340 a 2341); N.D.S. (expediente de prueba, folios 2192 a 2194); Declaraciones de: A.A.L.R. (expediente de prueba, folios 2343 a 2344); J.A.M.G. (expediente de prueba, folio 2346); R.M.M. (expediente de prueba, folio 2205); R.G.Z. (expediente de prueba, folio 2348); M.A.R.R. (expediente de prueba, folio 2207); J.R.C. (expediente de prueba, folio 2209); R.L.M. (expediente de prueba, folio 2211; R.I. (expediente de prueba, folios 2350 a 2351; Declaraciones de: G.P.D. (expediente de prueba, folio 2053); J.D.P.C. (expediente de prueba, folio 2353); A.J.V.G. (expediente de prueba, folios 2355 a 2357); F.A.C.P. (expediente de prueba, folios 2410 a 2412); C.A.A.L. (expediente de prueba, folios 2359 a 2360); I.M.R. (expediente de prueba, folios 2362 a 2363); R.J.V. (expediente de prueba, folios 2365 a 2366); M.R.R.P. (expediente de prueba, folios 2368 a 2370); J.A.S.L. (expediente de prueba, folios 2372 a 2373); M.A.S. (expediente de prueba, folios 2375 a 2376); S.O.R.A. (expediente de prueba, folios 2378 a 2380); J.E:M. (expediente de prueba, folios 2382 a 2383; J.A.M.D. (expediente de prueba, folios 2385 a 2386); W.A.R.S. (expediente de prueba, folios 2388 a 2389); J.F.G.C. (expediente de prueba, folios 2391 a 2394); R.R.G.H. (expediente de prueba, folios 2396 a 2397); W.J.N.R. (expediente de prueba, folios 2399 a 2400; E.H.L. (expediente de prueba, folio 2402); M.J.P.G. (expediente de prueba, folio 2404; E.M.V.R. (expediente de prueba, folio 2406); A.R.M. (expediente de prueba, folio 2408; Declaraciones de: J.C.P. (expediente de prueba, folios 2058 a 2064); F.S.O.N. (expediente de prueba, folios 2414 a 2417); R.J.S.O. (expediente de prueba, folios 2066 a 2071); S.A.V.B. (expediente de prueba, folios 2419 a 2422); J.M.R.V. (expediente de prueba, folios 2073 a 2079); J.R.P. (expediente de prueba, folios 2424 a 2429); </w:t>
      </w:r>
      <w:r w:rsidRPr="0046086B">
        <w:rPr>
          <w:color w:val="000000" w:themeColor="text1"/>
          <w:sz w:val="16"/>
          <w:szCs w:val="16"/>
        </w:rPr>
        <w:t xml:space="preserve">Acta de inspección ocular en vehículo, de 18 de abril de 1996 </w:t>
      </w:r>
      <w:r w:rsidRPr="0046086B">
        <w:rPr>
          <w:sz w:val="16"/>
          <w:szCs w:val="16"/>
          <w:lang w:val="es-ES"/>
        </w:rPr>
        <w:t xml:space="preserve">(expediente de prueba, folio 2051); </w:t>
      </w:r>
      <w:r w:rsidRPr="0046086B">
        <w:rPr>
          <w:color w:val="000000" w:themeColor="text1"/>
          <w:sz w:val="16"/>
          <w:szCs w:val="16"/>
        </w:rPr>
        <w:t xml:space="preserve">Primer dictamen médico sobre Pedro Bacilio Roche Azaña, Médico Forense de Chinandega, 15 de abril de 1996 (expediente de prueba, folio 396); </w:t>
      </w:r>
      <w:r w:rsidRPr="0046086B">
        <w:rPr>
          <w:sz w:val="16"/>
          <w:szCs w:val="16"/>
          <w:lang w:val="es-ES"/>
        </w:rPr>
        <w:t>Dictámenes médicos sobre: Patricio Roche Azaña (expediente de prueba, folio 2213); M.Q.P. (expediente de prueba, folio 2215); N.D.S. (expediente de prueba, folio 2217); A.C.S. (expediente de prueba, folio 2219); M.C.R. (expediente de prueba, folio 2221); Peritaje químico de huella de disparo (expediente de prueba, folios 2437 a 2438); Peritaje balístico 22 fusiles AK (expediente de prueba, folios 2240 a 2445); Peritaje químico de huella de disparo 12 fusiles AK (expediente de prueba, folios 2447 a 2448); Peritaje investigación química de metal 2450 a 2451); Peritaje de investigación química de pintura (expediente de prueba, folios 2453 a 2455); Peritaje huellas de disparo en armas de fuego 6 fusiles AK (expediente de prueba, folios 2457 a 2458); Peritaje balístico 6 fusiles AK (expediente de prueba, folios 2460 a 2463); Peritaje químico de huella de disparo 6 fusiles AK (expediente de prueba, folios 2465 a 2468); Peritaje químico de 14 fusiles AK (expediente de prueba, folios 2470 a 2471); Peritaje balístico 14 fusiles AK (expediente de prueba, folios 2473 a 2474); Peritaje 5 casquillos (expediente de prueba, folios 2476 a 2479), y Peritaje pelo y sangre (expediente de prueba, folios 2481 a 2486).</w:t>
      </w:r>
    </w:p>
  </w:footnote>
  <w:footnote w:id="49">
    <w:p w14:paraId="0E66773A" w14:textId="7EAFB83C"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t xml:space="preserve">Alegato del Estado no objetado por el representante ni la Comisión. </w:t>
      </w:r>
      <w:r w:rsidRPr="0046086B">
        <w:rPr>
          <w:i/>
          <w:iCs/>
          <w:color w:val="000000" w:themeColor="text1"/>
          <w:sz w:val="16"/>
          <w:szCs w:val="16"/>
        </w:rPr>
        <w:t>Cfr</w:t>
      </w:r>
      <w:r w:rsidRPr="0046086B">
        <w:rPr>
          <w:color w:val="000000" w:themeColor="text1"/>
          <w:sz w:val="16"/>
          <w:szCs w:val="16"/>
        </w:rPr>
        <w:t>. Contestación del Estado (expediente de fondo, folio 157).</w:t>
      </w:r>
    </w:p>
  </w:footnote>
  <w:footnote w:id="50">
    <w:p w14:paraId="7D760C97" w14:textId="77777777" w:rsidR="005579C3" w:rsidRPr="0046086B" w:rsidRDefault="005579C3" w:rsidP="0046086B">
      <w:pPr>
        <w:pStyle w:val="Textonotapie"/>
        <w:tabs>
          <w:tab w:val="left" w:pos="567"/>
          <w:tab w:val="left" w:pos="709"/>
        </w:tabs>
        <w:rPr>
          <w:color w:val="000000" w:themeColor="text1"/>
          <w:sz w:val="16"/>
          <w:szCs w:val="16"/>
          <w:lang w:val="es-CR"/>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Acta de insaculación del jurado, de 24 de febrero de 1997 (expediente de prueba, folio 3468).</w:t>
      </w:r>
    </w:p>
  </w:footnote>
  <w:footnote w:id="51">
    <w:p w14:paraId="542E09DA" w14:textId="77777777" w:rsidR="005579C3" w:rsidRPr="0046086B" w:rsidRDefault="005579C3" w:rsidP="0046086B">
      <w:pPr>
        <w:pStyle w:val="Textonotapie"/>
        <w:tabs>
          <w:tab w:val="left" w:pos="567"/>
          <w:tab w:val="left" w:pos="709"/>
        </w:tabs>
        <w:rPr>
          <w:color w:val="000000" w:themeColor="text1"/>
          <w:sz w:val="16"/>
          <w:szCs w:val="16"/>
          <w:lang w:val="es-CR"/>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Acta de organización del jurado, de 24 de febrero de 1997 (expediente de prueba, folio 3471).</w:t>
      </w:r>
    </w:p>
  </w:footnote>
  <w:footnote w:id="52">
    <w:p w14:paraId="1B7D7AEF" w14:textId="56682F4F"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Veredicto del Tribunal de Jurados en la causa contra J.M.R.V., R.J.S.O., S.A.V.B. y F.S.O.N. (expediente de prueba, folio 3473).</w:t>
      </w:r>
    </w:p>
  </w:footnote>
  <w:footnote w:id="53">
    <w:p w14:paraId="18E9737D" w14:textId="124E2EF5"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iCs/>
          <w:color w:val="000000" w:themeColor="text1"/>
          <w:sz w:val="16"/>
          <w:szCs w:val="16"/>
        </w:rPr>
        <w:t>Cfr</w:t>
      </w:r>
      <w:r w:rsidRPr="0046086B">
        <w:rPr>
          <w:color w:val="000000" w:themeColor="text1"/>
          <w:sz w:val="16"/>
          <w:szCs w:val="16"/>
        </w:rPr>
        <w:t>. Resolución del Juez Primero de Distrito del Crimen de Chinandega en virtud de la cual se absuelve a los procesados J.M.R.V., R.J.S.O., S.A.V.B. y F.S.O.N., de 27 de febrero de 1997 (expediente de prueba, folios 3479 a 3483).</w:t>
      </w:r>
    </w:p>
  </w:footnote>
  <w:footnote w:id="54">
    <w:p w14:paraId="345CCC8E" w14:textId="6558590E"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Resolución del Juez Primero de Distrito del Crimen de Chinandega en virtud de la cual se absuelve a los procesados J.M.R.V., R.J.S.O., S.A.V.B. y F.S.O.N., de 27 de febrero de 1997 (expediente de prueba, folio 3482).</w:t>
      </w:r>
    </w:p>
  </w:footnote>
  <w:footnote w:id="55">
    <w:p w14:paraId="1E513DA3" w14:textId="780E4A00"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xml:space="preserve">. </w:t>
      </w:r>
      <w:r w:rsidRPr="0046086B">
        <w:rPr>
          <w:rFonts w:cs="Calibri"/>
          <w:color w:val="000000" w:themeColor="text1"/>
          <w:sz w:val="16"/>
          <w:szCs w:val="16"/>
          <w:lang w:val="es-CR" w:eastAsia="en-US"/>
        </w:rPr>
        <w:t>Declaración de Patricio Fernando Roche Azaña en la Audiencia Pública celebrada ante esta Corte el 4 de febrero de 2020, en la que indicó que no tuvo “ningún conocimiento del juicio”</w:t>
      </w:r>
      <w:r w:rsidRPr="0046086B">
        <w:rPr>
          <w:color w:val="000000" w:themeColor="text1"/>
          <w:sz w:val="16"/>
          <w:szCs w:val="16"/>
          <w:lang w:val="es-CR"/>
        </w:rPr>
        <w:t xml:space="preserve">, </w:t>
      </w:r>
      <w:r w:rsidRPr="0046086B">
        <w:rPr>
          <w:color w:val="000000" w:themeColor="text1"/>
          <w:sz w:val="16"/>
          <w:szCs w:val="16"/>
        </w:rPr>
        <w:t xml:space="preserve">Informe de Fondo de la Comisión, no. 114/18, Caso 12.722, </w:t>
      </w:r>
      <w:r w:rsidRPr="0046086B">
        <w:rPr>
          <w:i/>
          <w:color w:val="000000" w:themeColor="text1"/>
          <w:sz w:val="16"/>
          <w:szCs w:val="16"/>
        </w:rPr>
        <w:t xml:space="preserve">Pedro Basilio Roche Azaña y Otro – </w:t>
      </w:r>
      <w:r w:rsidRPr="0046086B">
        <w:rPr>
          <w:color w:val="000000" w:themeColor="text1"/>
          <w:sz w:val="16"/>
          <w:szCs w:val="16"/>
        </w:rPr>
        <w:t>Nicaragua, de 5 de octubre de 2012, OEA/Ser.L/V/II.169, Doc. 131 (expediente de fondo, folios 14 y 21).</w:t>
      </w:r>
    </w:p>
  </w:footnote>
  <w:footnote w:id="56">
    <w:p w14:paraId="0CE41C53" w14:textId="43710E40" w:rsidR="005579C3" w:rsidRPr="0046086B" w:rsidRDefault="005579C3" w:rsidP="0046086B">
      <w:pPr>
        <w:pStyle w:val="Textonotapie"/>
        <w:tabs>
          <w:tab w:val="left" w:pos="567"/>
          <w:tab w:val="left" w:pos="709"/>
        </w:tabs>
        <w:rPr>
          <w:sz w:val="16"/>
          <w:szCs w:val="16"/>
          <w:lang w:val="es-ES"/>
        </w:rPr>
      </w:pPr>
      <w:r w:rsidRPr="0046086B">
        <w:rPr>
          <w:rStyle w:val="Refdenotaalpie"/>
          <w:sz w:val="16"/>
          <w:szCs w:val="16"/>
        </w:rPr>
        <w:footnoteRef/>
      </w:r>
      <w:r w:rsidRPr="0046086B">
        <w:rPr>
          <w:sz w:val="16"/>
          <w:szCs w:val="16"/>
        </w:rPr>
        <w:t xml:space="preserve"> </w:t>
      </w:r>
      <w:r w:rsidRPr="0046086B">
        <w:rPr>
          <w:sz w:val="16"/>
          <w:szCs w:val="16"/>
          <w:lang w:val="es-ES"/>
        </w:rPr>
        <w:tab/>
        <w:t>Artículos 4, 5 y 2 de la Convención Americana sobre Derechos Humanos.</w:t>
      </w:r>
    </w:p>
  </w:footnote>
  <w:footnote w:id="57">
    <w:p w14:paraId="3A026F38" w14:textId="66DD67AF"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rFonts w:eastAsia="Calibri"/>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xml:space="preserve"> </w:t>
      </w:r>
      <w:r w:rsidRPr="0046086B">
        <w:rPr>
          <w:i/>
          <w:color w:val="000000" w:themeColor="text1"/>
          <w:sz w:val="16"/>
          <w:szCs w:val="16"/>
        </w:rPr>
        <w:t>Caso de los “Niños de la Calle” (Villagrán Morales y otros) Vs. Guatemala. Fondo</w:t>
      </w:r>
      <w:r w:rsidRPr="0046086B">
        <w:rPr>
          <w:color w:val="000000" w:themeColor="text1"/>
          <w:sz w:val="16"/>
          <w:szCs w:val="16"/>
        </w:rPr>
        <w:t xml:space="preserve">. Sentencia de 19 de noviembre de 1999. Serie C No. 63, párr. 144, y </w:t>
      </w:r>
      <w:r w:rsidRPr="0046086B">
        <w:rPr>
          <w:i/>
          <w:color w:val="000000" w:themeColor="text1"/>
          <w:sz w:val="16"/>
          <w:szCs w:val="16"/>
        </w:rPr>
        <w:t xml:space="preserve">Caso Uzcátegui y otros Vs. Venezuela. </w:t>
      </w:r>
      <w:r w:rsidRPr="0046086B">
        <w:rPr>
          <w:rStyle w:val="Textoennegrita"/>
          <w:rFonts w:eastAsia="MS Mincho"/>
          <w:b w:val="0"/>
          <w:i/>
          <w:color w:val="000000"/>
          <w:sz w:val="16"/>
          <w:szCs w:val="16"/>
          <w:shd w:val="clear" w:color="auto" w:fill="FFFFFF"/>
        </w:rPr>
        <w:t>Fondo y Reparaciones</w:t>
      </w:r>
      <w:r w:rsidRPr="0046086B">
        <w:rPr>
          <w:rStyle w:val="Textoennegrita"/>
          <w:rFonts w:eastAsia="MS Mincho"/>
          <w:b w:val="0"/>
          <w:color w:val="000000"/>
          <w:sz w:val="16"/>
          <w:szCs w:val="16"/>
          <w:shd w:val="clear" w:color="auto" w:fill="FFFFFF"/>
        </w:rPr>
        <w:t>. Sentencia de 3 de septiembre de 2012. Serie C No. 249</w:t>
      </w:r>
      <w:r w:rsidRPr="0046086B">
        <w:rPr>
          <w:i/>
          <w:color w:val="000000" w:themeColor="text1"/>
          <w:sz w:val="16"/>
          <w:szCs w:val="16"/>
        </w:rPr>
        <w:t xml:space="preserve">, </w:t>
      </w:r>
      <w:r w:rsidRPr="0046086B">
        <w:rPr>
          <w:color w:val="000000" w:themeColor="text1"/>
          <w:sz w:val="16"/>
          <w:szCs w:val="16"/>
        </w:rPr>
        <w:t xml:space="preserve">párr. 132. </w:t>
      </w:r>
    </w:p>
  </w:footnote>
  <w:footnote w:id="58">
    <w:p w14:paraId="0A718B58" w14:textId="5ECE1AB2" w:rsidR="005579C3" w:rsidRPr="0046086B" w:rsidRDefault="005579C3" w:rsidP="0046086B">
      <w:pPr>
        <w:pStyle w:val="Textonotapie"/>
        <w:tabs>
          <w:tab w:val="left" w:pos="567"/>
          <w:tab w:val="left" w:pos="709"/>
        </w:tabs>
        <w:rPr>
          <w:color w:val="000000" w:themeColor="text1"/>
          <w:sz w:val="16"/>
          <w:szCs w:val="16"/>
          <w:lang w:val="es-CL"/>
        </w:rPr>
      </w:pPr>
      <w:r w:rsidRPr="0046086B">
        <w:rPr>
          <w:rStyle w:val="Refdenotaalpie"/>
          <w:color w:val="000000" w:themeColor="text1"/>
          <w:sz w:val="16"/>
          <w:szCs w:val="16"/>
        </w:rPr>
        <w:footnoteRef/>
      </w:r>
      <w:r w:rsidRPr="0046086B">
        <w:rPr>
          <w:color w:val="000000" w:themeColor="text1"/>
          <w:sz w:val="16"/>
          <w:szCs w:val="16"/>
          <w:lang w:val="es-CR"/>
        </w:rPr>
        <w:t xml:space="preserve"> </w:t>
      </w:r>
      <w:r w:rsidRPr="0046086B">
        <w:rPr>
          <w:color w:val="000000" w:themeColor="text1"/>
          <w:sz w:val="16"/>
          <w:szCs w:val="16"/>
          <w:lang w:val="es-CR"/>
        </w:rPr>
        <w:tab/>
      </w:r>
      <w:r w:rsidRPr="0046086B">
        <w:rPr>
          <w:i/>
          <w:color w:val="000000" w:themeColor="text1"/>
          <w:sz w:val="16"/>
          <w:szCs w:val="16"/>
          <w:lang w:val="es-CR"/>
        </w:rPr>
        <w:t>Cfr. Caso Zambrano Vélez y otros Vs. Ecuador. Fondo, Reparaciones y Costas</w:t>
      </w:r>
      <w:r w:rsidRPr="0046086B">
        <w:rPr>
          <w:color w:val="000000" w:themeColor="text1"/>
          <w:sz w:val="16"/>
          <w:szCs w:val="16"/>
          <w:lang w:val="es-CR"/>
        </w:rPr>
        <w:t>. Sentencia de 4 de julio de 2007. Serie C No. 166, párrs. 67 y sig</w:t>
      </w:r>
      <w:r w:rsidRPr="0046086B">
        <w:rPr>
          <w:color w:val="000000" w:themeColor="text1"/>
          <w:sz w:val="16"/>
          <w:szCs w:val="16"/>
          <w:lang w:val="es-CL"/>
        </w:rPr>
        <w:t xml:space="preserve">., </w:t>
      </w:r>
      <w:r w:rsidRPr="0046086B">
        <w:rPr>
          <w:color w:val="000000" w:themeColor="text1"/>
          <w:sz w:val="16"/>
          <w:szCs w:val="16"/>
        </w:rPr>
        <w:t xml:space="preserve">y </w:t>
      </w:r>
      <w:r w:rsidRPr="0046086B">
        <w:rPr>
          <w:i/>
          <w:color w:val="000000" w:themeColor="text1"/>
          <w:sz w:val="16"/>
          <w:szCs w:val="16"/>
        </w:rPr>
        <w:t xml:space="preserve">Caso Uzcátegui y otros Vs. Venezuela, supra, </w:t>
      </w:r>
      <w:r w:rsidRPr="0046086B">
        <w:rPr>
          <w:color w:val="000000" w:themeColor="text1"/>
          <w:sz w:val="16"/>
          <w:szCs w:val="16"/>
        </w:rPr>
        <w:t>párr. 132.</w:t>
      </w:r>
    </w:p>
  </w:footnote>
  <w:footnote w:id="59">
    <w:p w14:paraId="3151444A" w14:textId="37C8A88F"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rFonts w:eastAsia="MS Mincho"/>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t xml:space="preserve">Las personas que recibieron impactos de proyectil de arma de fuego fueron Pedro Bacilio Roche Azaña, Patricio Fernando Roche Azaña, M.Q.P., N.D.S., A.C.S. y M.C. </w:t>
      </w:r>
      <w:r w:rsidRPr="0046086B">
        <w:rPr>
          <w:i/>
          <w:color w:val="000000" w:themeColor="text1"/>
          <w:sz w:val="16"/>
          <w:szCs w:val="16"/>
        </w:rPr>
        <w:t>Cfr</w:t>
      </w:r>
      <w:r w:rsidRPr="0046086B">
        <w:rPr>
          <w:color w:val="000000" w:themeColor="text1"/>
          <w:sz w:val="16"/>
          <w:szCs w:val="16"/>
        </w:rPr>
        <w:t>. Auto de segura y formal prisión, dictado por el Juzgado Primero de Distrito del Crimen, de 6 de mayo de 1996 (expediente de prueba, folio 3291).</w:t>
      </w:r>
    </w:p>
  </w:footnote>
  <w:footnote w:id="60">
    <w:p w14:paraId="32C5E851" w14:textId="77777777"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rFonts w:eastAsia="MS Mincho"/>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xml:space="preserve">. Primer dictamen médico sobre Pedro Bacilio Roche Azaña, Médico Forense de Chinandega, 15 de abril de 1996 (expediente de prueba, folio 396). Ver también, Segundo dictamen médico sobre Pedro Bacilio Roche Azaña, Médico Forense de Chinandega, de 18 de abril de 1996 (expediente de prueba, folio 398). </w:t>
      </w:r>
    </w:p>
  </w:footnote>
  <w:footnote w:id="61">
    <w:p w14:paraId="74D91ABD" w14:textId="00FD3B5A" w:rsidR="005579C3" w:rsidRPr="0046086B" w:rsidRDefault="005579C3" w:rsidP="0046086B">
      <w:pPr>
        <w:pStyle w:val="Textonotapie"/>
        <w:tabs>
          <w:tab w:val="left" w:pos="567"/>
          <w:tab w:val="left" w:pos="709"/>
        </w:tabs>
        <w:rPr>
          <w:color w:val="000000" w:themeColor="text1"/>
          <w:sz w:val="16"/>
          <w:szCs w:val="16"/>
          <w:lang w:val="es-CR"/>
        </w:rPr>
      </w:pPr>
      <w:r w:rsidRPr="0046086B">
        <w:rPr>
          <w:rStyle w:val="Refdenotaalpie"/>
          <w:rFonts w:eastAsia="MS Mincho"/>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lang w:val="es-CR"/>
        </w:rPr>
        <w:tab/>
      </w:r>
      <w:r w:rsidRPr="0046086B">
        <w:rPr>
          <w:i/>
          <w:color w:val="000000" w:themeColor="text1"/>
          <w:sz w:val="16"/>
          <w:szCs w:val="16"/>
          <w:lang w:val="es-CR"/>
        </w:rPr>
        <w:t>Cfr</w:t>
      </w:r>
      <w:r w:rsidRPr="0046086B">
        <w:rPr>
          <w:color w:val="000000" w:themeColor="text1"/>
          <w:sz w:val="16"/>
          <w:szCs w:val="16"/>
          <w:lang w:val="es-CR"/>
        </w:rPr>
        <w:t xml:space="preserve">. Dictamen médico sobre Patricio Fernando Roche Azaña, Médico Forense de Chinandega, de 18 de abril de 1996 (expediente de prueba, folio 400). </w:t>
      </w:r>
    </w:p>
  </w:footnote>
  <w:footnote w:id="62">
    <w:p w14:paraId="7803446F" w14:textId="1948EFFC" w:rsidR="005579C3" w:rsidRPr="0046086B" w:rsidRDefault="005579C3" w:rsidP="0046086B">
      <w:pPr>
        <w:pStyle w:val="Textonotapie"/>
        <w:tabs>
          <w:tab w:val="left" w:pos="567"/>
          <w:tab w:val="left" w:pos="709"/>
        </w:tabs>
        <w:rPr>
          <w:sz w:val="16"/>
          <w:szCs w:val="16"/>
        </w:rPr>
      </w:pPr>
      <w:r w:rsidRPr="0046086B">
        <w:rPr>
          <w:rStyle w:val="Refdenotaalpie"/>
          <w:sz w:val="16"/>
          <w:szCs w:val="16"/>
        </w:rPr>
        <w:footnoteRef/>
      </w:r>
      <w:r w:rsidRPr="0046086B">
        <w:rPr>
          <w:sz w:val="16"/>
          <w:szCs w:val="16"/>
        </w:rPr>
        <w:t xml:space="preserve"> </w:t>
      </w:r>
      <w:r w:rsidRPr="0046086B">
        <w:rPr>
          <w:sz w:val="16"/>
          <w:szCs w:val="16"/>
        </w:rPr>
        <w:tab/>
      </w:r>
      <w:r w:rsidRPr="0046086B">
        <w:rPr>
          <w:i/>
          <w:color w:val="000000" w:themeColor="text1"/>
          <w:sz w:val="16"/>
          <w:szCs w:val="16"/>
        </w:rPr>
        <w:t>Cfr</w:t>
      </w:r>
      <w:r w:rsidRPr="0046086B">
        <w:rPr>
          <w:color w:val="000000" w:themeColor="text1"/>
          <w:sz w:val="16"/>
          <w:szCs w:val="16"/>
        </w:rPr>
        <w:t xml:space="preserve">. </w:t>
      </w:r>
      <w:r w:rsidRPr="0046086B">
        <w:rPr>
          <w:rFonts w:cs="Calibri"/>
          <w:color w:val="000000" w:themeColor="text1"/>
          <w:sz w:val="16"/>
          <w:szCs w:val="16"/>
          <w:lang w:val="es-CR" w:eastAsia="en-US"/>
        </w:rPr>
        <w:t xml:space="preserve">Declaración de Patricio Fernando Roche Azaña en la Audiencia Pública celebrada ante esta Corte el 4 de febrero de 2020, </w:t>
      </w:r>
    </w:p>
  </w:footnote>
  <w:footnote w:id="63">
    <w:p w14:paraId="006081B0" w14:textId="500A8F2E" w:rsidR="005579C3" w:rsidRPr="0046086B" w:rsidRDefault="005579C3" w:rsidP="0046086B">
      <w:pPr>
        <w:pStyle w:val="Textonotapie"/>
        <w:tabs>
          <w:tab w:val="left" w:pos="567"/>
          <w:tab w:val="left" w:pos="709"/>
        </w:tabs>
        <w:rPr>
          <w:rFonts w:cs="Verdana"/>
          <w:color w:val="000000" w:themeColor="text1"/>
          <w:sz w:val="16"/>
          <w:szCs w:val="16"/>
          <w:lang w:val="es-ES"/>
        </w:rPr>
      </w:pPr>
      <w:r w:rsidRPr="0046086B">
        <w:rPr>
          <w:rStyle w:val="Refdenotaalpie"/>
          <w:rFonts w:eastAsia="MS Mincho" w:cs="Verdana"/>
          <w:color w:val="000000" w:themeColor="text1"/>
          <w:sz w:val="16"/>
          <w:szCs w:val="16"/>
        </w:rPr>
        <w:footnoteRef/>
      </w:r>
      <w:r w:rsidRPr="0046086B">
        <w:rPr>
          <w:rFonts w:cs="Verdana"/>
          <w:color w:val="000000" w:themeColor="text1"/>
          <w:sz w:val="16"/>
          <w:szCs w:val="16"/>
          <w:lang w:val="es-ES"/>
        </w:rPr>
        <w:t xml:space="preserve"> </w:t>
      </w:r>
      <w:r w:rsidRPr="0046086B">
        <w:rPr>
          <w:rFonts w:cs="Verdana"/>
          <w:color w:val="000000" w:themeColor="text1"/>
          <w:sz w:val="16"/>
          <w:szCs w:val="16"/>
          <w:lang w:val="es-ES"/>
        </w:rPr>
        <w:tab/>
      </w:r>
      <w:r w:rsidRPr="0046086B">
        <w:rPr>
          <w:rFonts w:cs="Verdana"/>
          <w:i/>
          <w:iCs/>
          <w:color w:val="000000" w:themeColor="text1"/>
          <w:sz w:val="16"/>
          <w:szCs w:val="16"/>
          <w:lang w:val="es-ES"/>
        </w:rPr>
        <w:t>Cfr</w:t>
      </w:r>
      <w:r w:rsidRPr="0046086B">
        <w:rPr>
          <w:rFonts w:cs="Verdana"/>
          <w:color w:val="000000" w:themeColor="text1"/>
          <w:sz w:val="16"/>
          <w:szCs w:val="16"/>
          <w:lang w:val="es-ES"/>
        </w:rPr>
        <w:t xml:space="preserve">. </w:t>
      </w:r>
      <w:r w:rsidRPr="0046086B">
        <w:rPr>
          <w:rFonts w:cs="Verdana"/>
          <w:i/>
          <w:iCs/>
          <w:color w:val="000000" w:themeColor="text1"/>
          <w:sz w:val="16"/>
          <w:szCs w:val="16"/>
          <w:lang w:val="es-ES"/>
        </w:rPr>
        <w:t xml:space="preserve">Caso Montero Aranguren y otros (Retén de Catia) Vs. Venezuela. Excepción Preliminar, Fondo, Reparaciones y Costas. Sentencia de 5 de julio de 2006. Serie C No. 150, </w:t>
      </w:r>
      <w:r w:rsidRPr="0046086B">
        <w:rPr>
          <w:rFonts w:cs="Verdana"/>
          <w:color w:val="000000" w:themeColor="text1"/>
          <w:sz w:val="16"/>
          <w:szCs w:val="16"/>
          <w:lang w:val="es-ES"/>
        </w:rPr>
        <w:t>párr. 67</w:t>
      </w:r>
      <w:r w:rsidRPr="0046086B">
        <w:rPr>
          <w:rFonts w:cs="Verdana"/>
          <w:iCs/>
          <w:color w:val="000000" w:themeColor="text1"/>
          <w:sz w:val="16"/>
          <w:szCs w:val="16"/>
          <w:lang w:val="es-ES"/>
        </w:rPr>
        <w:t>, y</w:t>
      </w:r>
      <w:r w:rsidRPr="0046086B">
        <w:rPr>
          <w:rFonts w:cs="Verdana"/>
          <w:i/>
          <w:iCs/>
          <w:color w:val="000000" w:themeColor="text1"/>
          <w:sz w:val="16"/>
          <w:szCs w:val="16"/>
          <w:lang w:val="es-ES"/>
        </w:rPr>
        <w:t xml:space="preserve"> Caso Familia Barrios Vs. Venezuela. Fondo, Reparaciones y Costas. </w:t>
      </w:r>
      <w:r w:rsidRPr="0046086B">
        <w:rPr>
          <w:rFonts w:cs="Verdana"/>
          <w:color w:val="000000" w:themeColor="text1"/>
          <w:sz w:val="16"/>
          <w:szCs w:val="16"/>
          <w:lang w:val="es-ES"/>
        </w:rPr>
        <w:t>Sentencia de 24 de noviembre de 2011. Serie C No. 237</w:t>
      </w:r>
      <w:r w:rsidRPr="0046086B">
        <w:rPr>
          <w:rFonts w:cs="Verdana"/>
          <w:i/>
          <w:iCs/>
          <w:color w:val="000000" w:themeColor="text1"/>
          <w:sz w:val="16"/>
          <w:szCs w:val="16"/>
          <w:lang w:val="es-ES"/>
        </w:rPr>
        <w:t xml:space="preserve">, </w:t>
      </w:r>
      <w:r w:rsidRPr="0046086B">
        <w:rPr>
          <w:rFonts w:cs="Verdana"/>
          <w:color w:val="000000" w:themeColor="text1"/>
          <w:sz w:val="16"/>
          <w:szCs w:val="16"/>
          <w:lang w:val="es-ES"/>
        </w:rPr>
        <w:t>párr. 49.</w:t>
      </w:r>
    </w:p>
  </w:footnote>
  <w:footnote w:id="64">
    <w:p w14:paraId="0498F519" w14:textId="67831B49" w:rsidR="005579C3" w:rsidRPr="0046086B" w:rsidRDefault="005579C3" w:rsidP="0046086B">
      <w:pPr>
        <w:pStyle w:val="Textonotapie"/>
        <w:tabs>
          <w:tab w:val="left" w:pos="567"/>
          <w:tab w:val="left" w:pos="709"/>
        </w:tabs>
        <w:rPr>
          <w:sz w:val="16"/>
          <w:szCs w:val="16"/>
        </w:rPr>
      </w:pPr>
      <w:r w:rsidRPr="0046086B">
        <w:rPr>
          <w:rStyle w:val="Refdenotaalpie"/>
          <w:sz w:val="16"/>
          <w:szCs w:val="16"/>
        </w:rPr>
        <w:footnoteRef/>
      </w:r>
      <w:r w:rsidRPr="0046086B">
        <w:rPr>
          <w:sz w:val="16"/>
          <w:szCs w:val="16"/>
        </w:rPr>
        <w:t xml:space="preserve"> </w:t>
      </w:r>
      <w:r w:rsidRPr="0046086B">
        <w:rPr>
          <w:sz w:val="16"/>
          <w:szCs w:val="16"/>
        </w:rPr>
        <w:tab/>
      </w:r>
      <w:r w:rsidRPr="0046086B">
        <w:rPr>
          <w:i/>
          <w:iCs/>
          <w:sz w:val="16"/>
          <w:szCs w:val="16"/>
        </w:rPr>
        <w:t>Cfr</w:t>
      </w:r>
      <w:r w:rsidRPr="0046086B">
        <w:rPr>
          <w:sz w:val="16"/>
          <w:szCs w:val="16"/>
        </w:rPr>
        <w:t xml:space="preserve">. </w:t>
      </w:r>
      <w:r w:rsidRPr="0046086B">
        <w:rPr>
          <w:i/>
          <w:iCs/>
          <w:sz w:val="16"/>
          <w:szCs w:val="16"/>
        </w:rPr>
        <w:t>Caso Nadege Dorzema y otros Vs. República Dominicana. Fondo, Reparaciones y Costas.</w:t>
      </w:r>
      <w:r w:rsidRPr="0046086B">
        <w:rPr>
          <w:sz w:val="16"/>
          <w:szCs w:val="16"/>
        </w:rPr>
        <w:t xml:space="preserve"> Sentencia de 24 de octubre de 2012. Serie C No. 251, párr. 85, y </w:t>
      </w:r>
      <w:r w:rsidRPr="0046086B">
        <w:rPr>
          <w:i/>
          <w:iCs/>
          <w:sz w:val="16"/>
          <w:szCs w:val="16"/>
        </w:rPr>
        <w:t>Caso Díaz Loreto y otros Vs. Venezuela. Excepciones Preliminares, Fondo, Reparaciones y Costas.</w:t>
      </w:r>
      <w:r w:rsidRPr="0046086B">
        <w:rPr>
          <w:sz w:val="16"/>
          <w:szCs w:val="16"/>
        </w:rPr>
        <w:t xml:space="preserve"> Sentencia de 19 de noviembre de 2019. Serie C No. 392, párr. 63.</w:t>
      </w:r>
    </w:p>
  </w:footnote>
  <w:footnote w:id="65">
    <w:p w14:paraId="00F4D26E" w14:textId="0C55B589" w:rsidR="005579C3" w:rsidRPr="0046086B" w:rsidRDefault="005579C3" w:rsidP="0046086B">
      <w:pPr>
        <w:pStyle w:val="Textonotapie"/>
        <w:tabs>
          <w:tab w:val="left" w:pos="567"/>
          <w:tab w:val="left" w:pos="709"/>
        </w:tabs>
        <w:rPr>
          <w:sz w:val="16"/>
          <w:szCs w:val="16"/>
        </w:rPr>
      </w:pPr>
      <w:r w:rsidRPr="0046086B">
        <w:rPr>
          <w:rStyle w:val="Refdenotaalpie"/>
          <w:sz w:val="16"/>
          <w:szCs w:val="16"/>
        </w:rPr>
        <w:footnoteRef/>
      </w:r>
      <w:r w:rsidRPr="0046086B">
        <w:rPr>
          <w:sz w:val="16"/>
          <w:szCs w:val="16"/>
        </w:rPr>
        <w:t xml:space="preserve"> </w:t>
      </w:r>
      <w:r w:rsidRPr="0046086B">
        <w:rPr>
          <w:sz w:val="16"/>
          <w:szCs w:val="16"/>
        </w:rPr>
        <w:tab/>
      </w:r>
      <w:r w:rsidRPr="0046086B">
        <w:rPr>
          <w:i/>
          <w:iCs/>
          <w:sz w:val="16"/>
          <w:szCs w:val="16"/>
        </w:rPr>
        <w:t>Cfr</w:t>
      </w:r>
      <w:r w:rsidRPr="0046086B">
        <w:rPr>
          <w:sz w:val="16"/>
          <w:szCs w:val="16"/>
        </w:rPr>
        <w:t xml:space="preserve">. </w:t>
      </w:r>
      <w:r w:rsidRPr="0046086B">
        <w:rPr>
          <w:i/>
          <w:iCs/>
          <w:sz w:val="16"/>
          <w:szCs w:val="16"/>
        </w:rPr>
        <w:t xml:space="preserve">Caso Hermanos Landaeta Mejías y otros Vs. Venezuela. Excepciones Preliminares, Fondo, Reparaciones y Costas. </w:t>
      </w:r>
      <w:r w:rsidRPr="0046086B">
        <w:rPr>
          <w:sz w:val="16"/>
          <w:szCs w:val="16"/>
        </w:rPr>
        <w:t xml:space="preserve">Sentencia de 27 de agosto de 2014. Serie C No. 28, párr. 134, y </w:t>
      </w:r>
      <w:r w:rsidRPr="0046086B">
        <w:rPr>
          <w:i/>
          <w:iCs/>
          <w:sz w:val="16"/>
          <w:szCs w:val="16"/>
        </w:rPr>
        <w:t>Caso Díaz Loreto y otros Vs. Venezuela. supra</w:t>
      </w:r>
      <w:r w:rsidRPr="0046086B">
        <w:rPr>
          <w:sz w:val="16"/>
          <w:szCs w:val="16"/>
        </w:rPr>
        <w:t>, párr. 63.</w:t>
      </w:r>
    </w:p>
  </w:footnote>
  <w:footnote w:id="66">
    <w:p w14:paraId="34C77595" w14:textId="15984506"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 xml:space="preserve">Cfr. </w:t>
      </w:r>
      <w:r w:rsidRPr="0046086B">
        <w:rPr>
          <w:rFonts w:cs="Verdana"/>
          <w:i/>
          <w:iCs/>
          <w:color w:val="000000" w:themeColor="text1"/>
          <w:sz w:val="16"/>
          <w:szCs w:val="16"/>
          <w:lang w:val="es-ES"/>
        </w:rPr>
        <w:t>Caso Montero Aranguren y otros (Retén de Catia) Vs. Venezuela</w:t>
      </w:r>
      <w:r w:rsidRPr="0046086B">
        <w:rPr>
          <w:i/>
          <w:color w:val="000000" w:themeColor="text1"/>
          <w:sz w:val="16"/>
          <w:szCs w:val="16"/>
        </w:rPr>
        <w:t>, supra</w:t>
      </w:r>
      <w:r w:rsidRPr="0046086B">
        <w:rPr>
          <w:color w:val="000000" w:themeColor="text1"/>
          <w:sz w:val="16"/>
          <w:szCs w:val="16"/>
        </w:rPr>
        <w:t xml:space="preserve">, párrs. 67 a 68; </w:t>
      </w:r>
      <w:r w:rsidRPr="0046086B">
        <w:rPr>
          <w:i/>
          <w:color w:val="000000" w:themeColor="text1"/>
          <w:sz w:val="16"/>
          <w:szCs w:val="16"/>
        </w:rPr>
        <w:t>Caso Nadege Dorzema y otros Vs. República Dominicana, supra</w:t>
      </w:r>
      <w:r w:rsidRPr="0046086B">
        <w:rPr>
          <w:color w:val="000000" w:themeColor="text1"/>
          <w:sz w:val="16"/>
          <w:szCs w:val="16"/>
        </w:rPr>
        <w:t xml:space="preserve">, párr. 85 y </w:t>
      </w:r>
      <w:r w:rsidRPr="0046086B">
        <w:rPr>
          <w:i/>
          <w:iCs/>
          <w:color w:val="000000" w:themeColor="text1"/>
          <w:sz w:val="16"/>
          <w:szCs w:val="16"/>
        </w:rPr>
        <w:t>Caso Hermanos Landaeta Mejías y otros Vs. Venezuela, supra</w:t>
      </w:r>
      <w:r w:rsidRPr="0046086B">
        <w:rPr>
          <w:color w:val="000000" w:themeColor="text1"/>
          <w:sz w:val="16"/>
          <w:szCs w:val="16"/>
        </w:rPr>
        <w:t xml:space="preserve">, párr. 134. </w:t>
      </w:r>
      <w:r w:rsidRPr="0046086B">
        <w:rPr>
          <w:iCs/>
          <w:color w:val="000000" w:themeColor="text1"/>
          <w:sz w:val="16"/>
          <w:szCs w:val="16"/>
        </w:rPr>
        <w:t>Ver también,</w:t>
      </w:r>
      <w:r w:rsidRPr="0046086B">
        <w:rPr>
          <w:i/>
          <w:color w:val="000000" w:themeColor="text1"/>
          <w:sz w:val="16"/>
          <w:szCs w:val="16"/>
        </w:rPr>
        <w:t xml:space="preserve"> </w:t>
      </w:r>
      <w:r w:rsidRPr="0046086B">
        <w:rPr>
          <w:sz w:val="16"/>
          <w:szCs w:val="16"/>
        </w:rPr>
        <w:t xml:space="preserve">Principios Básicos sobre el Empleo de la Fuerza y de las Armas de Fuego por los Funcionarios Encargados de Cumplir la Ley (en adelante, </w:t>
      </w:r>
      <w:r w:rsidRPr="0046086B">
        <w:rPr>
          <w:i/>
          <w:sz w:val="16"/>
          <w:szCs w:val="16"/>
        </w:rPr>
        <w:t>“Principios Básicos sobre el Empleo de la Fuerza”</w:t>
      </w:r>
      <w:r w:rsidRPr="0046086B">
        <w:rPr>
          <w:sz w:val="16"/>
          <w:szCs w:val="16"/>
        </w:rPr>
        <w:t>), adoptados por el Octavo Congreso de las Naciones Unidas sobre Prevención del Delito y Tratamiento del Delincuente celebrado en La Habana, Cuba, del 27 de agosto al 7 de septiembre de 1990</w:t>
      </w:r>
      <w:r w:rsidRPr="0046086B">
        <w:rPr>
          <w:color w:val="000000" w:themeColor="text1"/>
          <w:sz w:val="16"/>
          <w:szCs w:val="16"/>
        </w:rPr>
        <w:t>, Principio No. 4.</w:t>
      </w:r>
    </w:p>
  </w:footnote>
  <w:footnote w:id="67">
    <w:p w14:paraId="0B998FD8" w14:textId="3338D73E" w:rsidR="005579C3" w:rsidRPr="0046086B" w:rsidRDefault="005579C3" w:rsidP="0046086B">
      <w:pPr>
        <w:pStyle w:val="Textonotapie"/>
        <w:tabs>
          <w:tab w:val="left" w:pos="567"/>
          <w:tab w:val="left" w:pos="709"/>
        </w:tabs>
        <w:rPr>
          <w:rFonts w:cs="Verdana"/>
          <w:b/>
          <w:bCs/>
          <w:i/>
          <w:iCs/>
          <w:color w:val="000000" w:themeColor="text1"/>
          <w:sz w:val="16"/>
          <w:szCs w:val="16"/>
          <w:lang w:val="es-ES"/>
        </w:rPr>
      </w:pPr>
      <w:r w:rsidRPr="0046086B">
        <w:rPr>
          <w:rStyle w:val="Refdenotaalpie"/>
          <w:rFonts w:eastAsia="MS Mincho" w:cs="Verdana"/>
          <w:color w:val="000000" w:themeColor="text1"/>
          <w:sz w:val="16"/>
          <w:szCs w:val="16"/>
          <w:lang w:val="en-US"/>
        </w:rPr>
        <w:footnoteRef/>
      </w:r>
      <w:r w:rsidRPr="0046086B">
        <w:rPr>
          <w:rFonts w:cs="Verdana"/>
          <w:color w:val="000000" w:themeColor="text1"/>
          <w:sz w:val="16"/>
          <w:szCs w:val="16"/>
          <w:lang w:val="es-ES"/>
        </w:rPr>
        <w:t xml:space="preserve"> </w:t>
      </w:r>
      <w:r w:rsidRPr="0046086B">
        <w:rPr>
          <w:rFonts w:cs="Verdana"/>
          <w:color w:val="000000" w:themeColor="text1"/>
          <w:sz w:val="16"/>
          <w:szCs w:val="16"/>
          <w:lang w:val="es-ES"/>
        </w:rPr>
        <w:tab/>
      </w:r>
      <w:r w:rsidRPr="0046086B">
        <w:rPr>
          <w:rFonts w:cs="Verdana"/>
          <w:i/>
          <w:iCs/>
          <w:color w:val="000000" w:themeColor="text1"/>
          <w:sz w:val="16"/>
          <w:szCs w:val="16"/>
          <w:lang w:val="es-ES"/>
        </w:rPr>
        <w:t>Cfr</w:t>
      </w:r>
      <w:r w:rsidRPr="0046086B">
        <w:rPr>
          <w:rFonts w:cs="Verdana"/>
          <w:color w:val="000000" w:themeColor="text1"/>
          <w:sz w:val="16"/>
          <w:szCs w:val="16"/>
          <w:lang w:val="es-ES"/>
        </w:rPr>
        <w:t xml:space="preserve">. </w:t>
      </w:r>
      <w:r w:rsidRPr="0046086B">
        <w:rPr>
          <w:rFonts w:cs="Verdana"/>
          <w:i/>
          <w:iCs/>
          <w:color w:val="000000" w:themeColor="text1"/>
          <w:sz w:val="16"/>
          <w:szCs w:val="16"/>
          <w:lang w:val="es-ES"/>
        </w:rPr>
        <w:t>Caso Montero Aranguren y otros (Retén de Catia) Vs. Venezuela</w:t>
      </w:r>
      <w:r w:rsidRPr="0046086B">
        <w:rPr>
          <w:i/>
          <w:color w:val="000000" w:themeColor="text1"/>
          <w:sz w:val="16"/>
          <w:szCs w:val="16"/>
        </w:rPr>
        <w:t>, supra,</w:t>
      </w:r>
      <w:r w:rsidRPr="0046086B">
        <w:rPr>
          <w:rFonts w:cs="Verdana"/>
          <w:color w:val="000000" w:themeColor="text1"/>
          <w:sz w:val="16"/>
          <w:szCs w:val="16"/>
          <w:lang w:val="es-ES"/>
        </w:rPr>
        <w:t xml:space="preserve"> párr. 68, y </w:t>
      </w:r>
      <w:r w:rsidRPr="0046086B">
        <w:rPr>
          <w:rFonts w:cs="Verdana"/>
          <w:i/>
          <w:iCs/>
          <w:color w:val="000000" w:themeColor="text1"/>
          <w:sz w:val="16"/>
          <w:szCs w:val="16"/>
          <w:lang w:val="es-ES"/>
        </w:rPr>
        <w:t>Caso Zambrano Vélez y otros Vs. Ecuador</w:t>
      </w:r>
      <w:r w:rsidRPr="0046086B">
        <w:rPr>
          <w:rFonts w:cs="Verdana"/>
          <w:iCs/>
          <w:color w:val="000000" w:themeColor="text1"/>
          <w:sz w:val="16"/>
          <w:szCs w:val="16"/>
          <w:lang w:val="es-ES"/>
        </w:rPr>
        <w:t>, supra</w:t>
      </w:r>
      <w:r w:rsidRPr="0046086B">
        <w:rPr>
          <w:rFonts w:cs="Verdana"/>
          <w:color w:val="000000" w:themeColor="text1"/>
          <w:sz w:val="16"/>
          <w:szCs w:val="16"/>
          <w:lang w:val="es-ES"/>
        </w:rPr>
        <w:t>, párr. 84.</w:t>
      </w:r>
    </w:p>
  </w:footnote>
  <w:footnote w:id="68">
    <w:p w14:paraId="63D4B21C" w14:textId="72009C02"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 xml:space="preserve">Cfr. inter alia, </w:t>
      </w:r>
      <w:r w:rsidRPr="0046086B">
        <w:rPr>
          <w:rFonts w:cs="Verdana"/>
          <w:i/>
          <w:iCs/>
          <w:color w:val="000000" w:themeColor="text1"/>
          <w:sz w:val="16"/>
          <w:szCs w:val="16"/>
          <w:lang w:val="es-ES"/>
        </w:rPr>
        <w:t>Caso Zambrano Vélez y otros Vs. Ecuador</w:t>
      </w:r>
      <w:r w:rsidRPr="0046086B">
        <w:rPr>
          <w:rFonts w:cs="Verdana"/>
          <w:color w:val="000000" w:themeColor="text1"/>
          <w:sz w:val="16"/>
          <w:szCs w:val="16"/>
          <w:lang w:val="es-ES"/>
        </w:rPr>
        <w:t xml:space="preserve">, </w:t>
      </w:r>
      <w:r w:rsidRPr="0046086B">
        <w:rPr>
          <w:rFonts w:cs="Verdana"/>
          <w:i/>
          <w:iCs/>
          <w:color w:val="000000" w:themeColor="text1"/>
          <w:sz w:val="16"/>
          <w:szCs w:val="16"/>
          <w:lang w:val="es-ES"/>
        </w:rPr>
        <w:t>supra</w:t>
      </w:r>
      <w:r w:rsidRPr="0046086B">
        <w:rPr>
          <w:rFonts w:cs="Verdana"/>
          <w:color w:val="000000" w:themeColor="text1"/>
          <w:sz w:val="16"/>
          <w:szCs w:val="16"/>
          <w:lang w:val="es-ES"/>
        </w:rPr>
        <w:t>,</w:t>
      </w:r>
      <w:r w:rsidRPr="0046086B">
        <w:rPr>
          <w:color w:val="000000" w:themeColor="text1"/>
          <w:sz w:val="16"/>
          <w:szCs w:val="16"/>
        </w:rPr>
        <w:t xml:space="preserve"> párr.</w:t>
      </w:r>
      <w:r w:rsidRPr="0046086B">
        <w:rPr>
          <w:color w:val="000000" w:themeColor="text1"/>
          <w:sz w:val="16"/>
          <w:szCs w:val="16"/>
          <w:lang w:val="es-CL"/>
        </w:rPr>
        <w:t xml:space="preserve"> 85; </w:t>
      </w:r>
      <w:r w:rsidRPr="0046086B">
        <w:rPr>
          <w:i/>
          <w:color w:val="000000" w:themeColor="text1"/>
          <w:sz w:val="16"/>
          <w:szCs w:val="16"/>
        </w:rPr>
        <w:t>Caso Nadege Dorzema y otros Vs. República Dominicana, supra</w:t>
      </w:r>
      <w:r w:rsidRPr="0046086B">
        <w:rPr>
          <w:color w:val="000000" w:themeColor="text1"/>
          <w:sz w:val="16"/>
          <w:szCs w:val="16"/>
        </w:rPr>
        <w:t xml:space="preserve">, párr. 85 iii), y </w:t>
      </w:r>
      <w:r w:rsidRPr="0046086B">
        <w:rPr>
          <w:i/>
          <w:iCs/>
          <w:color w:val="000000" w:themeColor="text1"/>
          <w:sz w:val="16"/>
          <w:szCs w:val="16"/>
        </w:rPr>
        <w:t xml:space="preserve">Caso Hermanos Landaeta Mejías y otros Vs. Venezuela, supra, </w:t>
      </w:r>
      <w:r w:rsidRPr="0046086B">
        <w:rPr>
          <w:color w:val="000000" w:themeColor="text1"/>
          <w:sz w:val="16"/>
          <w:szCs w:val="16"/>
        </w:rPr>
        <w:t xml:space="preserve">párr, 134. </w:t>
      </w:r>
      <w:r w:rsidRPr="0046086B">
        <w:rPr>
          <w:iCs/>
          <w:color w:val="000000" w:themeColor="text1"/>
          <w:sz w:val="16"/>
          <w:szCs w:val="16"/>
        </w:rPr>
        <w:t>Ver también</w:t>
      </w:r>
      <w:r w:rsidRPr="0046086B">
        <w:rPr>
          <w:i/>
          <w:color w:val="000000" w:themeColor="text1"/>
          <w:sz w:val="16"/>
          <w:szCs w:val="16"/>
        </w:rPr>
        <w:t>, Principios básicos sobre el empleo de la fuerza, supra,</w:t>
      </w:r>
      <w:r w:rsidRPr="0046086B">
        <w:rPr>
          <w:color w:val="000000" w:themeColor="text1"/>
          <w:sz w:val="16"/>
          <w:szCs w:val="16"/>
        </w:rPr>
        <w:t xml:space="preserve"> Principios No. 5 y 9.</w:t>
      </w:r>
    </w:p>
  </w:footnote>
  <w:footnote w:id="69">
    <w:p w14:paraId="4C54EC57" w14:textId="5C98011C"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xml:space="preserve"> </w:t>
      </w:r>
      <w:r w:rsidRPr="0046086B">
        <w:rPr>
          <w:i/>
          <w:color w:val="000000" w:themeColor="text1"/>
          <w:sz w:val="16"/>
          <w:szCs w:val="16"/>
        </w:rPr>
        <w:t xml:space="preserve">Caso Nadege Dorzema y otros Vs. República Dominicana, supra, </w:t>
      </w:r>
      <w:r w:rsidRPr="0046086B">
        <w:rPr>
          <w:color w:val="000000" w:themeColor="text1"/>
          <w:sz w:val="16"/>
          <w:szCs w:val="16"/>
        </w:rPr>
        <w:t xml:space="preserve">párr. 85 iii), y </w:t>
      </w:r>
      <w:r w:rsidRPr="0046086B">
        <w:rPr>
          <w:i/>
          <w:iCs/>
          <w:color w:val="000000" w:themeColor="text1"/>
          <w:sz w:val="16"/>
          <w:szCs w:val="16"/>
        </w:rPr>
        <w:t xml:space="preserve">Caso Hermanos Landaeta Mejías y otros Vs. Venezuela, </w:t>
      </w:r>
      <w:r w:rsidRPr="0046086B">
        <w:rPr>
          <w:i/>
          <w:color w:val="000000" w:themeColor="text1"/>
          <w:sz w:val="16"/>
          <w:szCs w:val="16"/>
        </w:rPr>
        <w:t>supra,</w:t>
      </w:r>
      <w:r w:rsidRPr="0046086B">
        <w:rPr>
          <w:color w:val="000000" w:themeColor="text1"/>
          <w:sz w:val="16"/>
          <w:szCs w:val="16"/>
        </w:rPr>
        <w:t xml:space="preserve"> párr. 134. Ver también, </w:t>
      </w:r>
      <w:r w:rsidRPr="0046086B">
        <w:rPr>
          <w:i/>
          <w:color w:val="000000" w:themeColor="text1"/>
          <w:sz w:val="16"/>
          <w:szCs w:val="16"/>
        </w:rPr>
        <w:t xml:space="preserve">Principios básicos sobre el empleo de la fuerza, </w:t>
      </w:r>
      <w:r w:rsidRPr="0046086B">
        <w:rPr>
          <w:color w:val="000000" w:themeColor="text1"/>
          <w:sz w:val="16"/>
          <w:szCs w:val="16"/>
        </w:rPr>
        <w:t xml:space="preserve">Principios No. 2, 4, 5 y 9. </w:t>
      </w:r>
    </w:p>
  </w:footnote>
  <w:footnote w:id="70">
    <w:p w14:paraId="6790DBA6" w14:textId="77777777"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iCs/>
          <w:color w:val="000000" w:themeColor="text1"/>
          <w:sz w:val="16"/>
          <w:szCs w:val="16"/>
        </w:rPr>
        <w:t>Cfr</w:t>
      </w:r>
      <w:r w:rsidRPr="0046086B">
        <w:rPr>
          <w:color w:val="000000" w:themeColor="text1"/>
          <w:sz w:val="16"/>
          <w:szCs w:val="16"/>
        </w:rPr>
        <w:t xml:space="preserve">. </w:t>
      </w:r>
      <w:r w:rsidRPr="0046086B">
        <w:rPr>
          <w:i/>
          <w:iCs/>
          <w:color w:val="000000" w:themeColor="text1"/>
          <w:sz w:val="16"/>
          <w:szCs w:val="16"/>
        </w:rPr>
        <w:t>Caso Hermanos Landaeta Mejías y otros Vs. Venezuela, supra,</w:t>
      </w:r>
      <w:r w:rsidRPr="0046086B">
        <w:rPr>
          <w:color w:val="000000" w:themeColor="text1"/>
          <w:sz w:val="16"/>
          <w:szCs w:val="16"/>
        </w:rPr>
        <w:t xml:space="preserve"> párr. 136.</w:t>
      </w:r>
    </w:p>
  </w:footnote>
  <w:footnote w:id="71">
    <w:p w14:paraId="39076E59" w14:textId="77777777" w:rsidR="005579C3" w:rsidRPr="0046086B" w:rsidRDefault="005579C3" w:rsidP="0046086B">
      <w:pPr>
        <w:pStyle w:val="Textonotapie"/>
        <w:tabs>
          <w:tab w:val="left" w:pos="567"/>
          <w:tab w:val="left" w:pos="709"/>
        </w:tabs>
        <w:rPr>
          <w:sz w:val="16"/>
          <w:szCs w:val="16"/>
        </w:rPr>
      </w:pPr>
      <w:r w:rsidRPr="0046086B">
        <w:rPr>
          <w:rStyle w:val="Refdenotaalpie"/>
          <w:sz w:val="16"/>
          <w:szCs w:val="16"/>
        </w:rPr>
        <w:footnoteRef/>
      </w:r>
      <w:r w:rsidRPr="0046086B">
        <w:rPr>
          <w:sz w:val="16"/>
          <w:szCs w:val="16"/>
        </w:rPr>
        <w:t xml:space="preserve"> </w:t>
      </w:r>
      <w:r w:rsidRPr="0046086B">
        <w:rPr>
          <w:sz w:val="16"/>
          <w:szCs w:val="16"/>
        </w:rPr>
        <w:tab/>
        <w:t>Dichos artículos disponen lo siguiente:</w:t>
      </w:r>
    </w:p>
    <w:p w14:paraId="6D212B90" w14:textId="77777777" w:rsidR="005579C3" w:rsidRPr="0046086B" w:rsidRDefault="005579C3" w:rsidP="0046086B">
      <w:pPr>
        <w:pStyle w:val="Textonotapie"/>
        <w:spacing w:before="60" w:after="60"/>
        <w:ind w:left="567" w:right="442"/>
        <w:rPr>
          <w:sz w:val="16"/>
          <w:szCs w:val="16"/>
        </w:rPr>
      </w:pPr>
      <w:r w:rsidRPr="0046086B">
        <w:rPr>
          <w:sz w:val="16"/>
          <w:szCs w:val="16"/>
        </w:rPr>
        <w:t xml:space="preserve">Artículo 97.- La Policía Nacional es un cuerpo armado de naturaleza civil. Tiene por misión garantizar el orden interno, la seguridad de los ciudadanos, la prevención y persecución del delito y los demás que le señale la ley. La Policía Nacional es profesional, apolítica, apartidista, obediente y no deliberante. La Policía Nacional se regirá en estricto apego a la Constitución Política, a la que guardará en estricto apego a la Constitución Política, a la que guardará respecto y obediencia. Estará sometida a la autoridad civil que será ejercida a través del ministerio correspondiente. </w:t>
      </w:r>
    </w:p>
    <w:p w14:paraId="2C912E59" w14:textId="77777777" w:rsidR="005579C3" w:rsidRPr="0046086B" w:rsidRDefault="005579C3" w:rsidP="0046086B">
      <w:pPr>
        <w:pStyle w:val="Textonotapie"/>
        <w:spacing w:before="60" w:after="60"/>
        <w:ind w:left="567" w:right="442"/>
        <w:rPr>
          <w:sz w:val="16"/>
          <w:szCs w:val="16"/>
          <w:lang w:val="es-ES"/>
        </w:rPr>
      </w:pPr>
      <w:r w:rsidRPr="0046086B">
        <w:rPr>
          <w:sz w:val="16"/>
          <w:szCs w:val="16"/>
        </w:rPr>
        <w:t>Artículo 144.- El Poder Ejecutivo lo ejerce el Presidente de la República, quien es Jefe de Estado, Jefe de Gobierno y Jefe Supremo del Ejército de Nicaragua.</w:t>
      </w:r>
    </w:p>
  </w:footnote>
  <w:footnote w:id="72">
    <w:p w14:paraId="7F4724A1" w14:textId="77777777"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t xml:space="preserve">Disponible en: </w:t>
      </w:r>
      <w:hyperlink r:id="rId3" w:history="1">
        <w:r w:rsidRPr="0046086B">
          <w:rPr>
            <w:rStyle w:val="Hipervnculo"/>
            <w:sz w:val="16"/>
            <w:szCs w:val="16"/>
          </w:rPr>
          <w:t>https://web.oas.org/mla/en/G_Countries_MLA/Nica_ajm_leg_esp_2.pdf</w:t>
        </w:r>
      </w:hyperlink>
    </w:p>
  </w:footnote>
  <w:footnote w:id="73">
    <w:p w14:paraId="675526AD" w14:textId="77777777"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t xml:space="preserve">Disponible en: </w:t>
      </w:r>
    </w:p>
    <w:p w14:paraId="48B9B428" w14:textId="77777777" w:rsidR="005579C3" w:rsidRPr="0046086B" w:rsidRDefault="009E306B" w:rsidP="0046086B">
      <w:pPr>
        <w:pStyle w:val="Textonotapie"/>
        <w:tabs>
          <w:tab w:val="left" w:pos="567"/>
          <w:tab w:val="left" w:pos="709"/>
        </w:tabs>
        <w:rPr>
          <w:color w:val="000000" w:themeColor="text1"/>
          <w:sz w:val="16"/>
          <w:szCs w:val="16"/>
        </w:rPr>
      </w:pPr>
      <w:hyperlink r:id="rId4" w:history="1">
        <w:r w:rsidR="005579C3" w:rsidRPr="0046086B">
          <w:rPr>
            <w:rStyle w:val="Hipervnculo"/>
            <w:sz w:val="16"/>
            <w:szCs w:val="16"/>
          </w:rPr>
          <w:t>http://legislacion.asamblea.gob.ni/normaweb.nsf/($All)/5622C7C6B447C28A062570A10057D770?OpenDocument</w:t>
        </w:r>
      </w:hyperlink>
      <w:r w:rsidR="005579C3" w:rsidRPr="0046086B">
        <w:rPr>
          <w:color w:val="000000" w:themeColor="text1"/>
          <w:sz w:val="16"/>
          <w:szCs w:val="16"/>
        </w:rPr>
        <w:t xml:space="preserve"> </w:t>
      </w:r>
    </w:p>
    <w:p w14:paraId="17413F4C" w14:textId="77777777" w:rsidR="005579C3" w:rsidRPr="0046086B" w:rsidRDefault="005579C3" w:rsidP="0046086B">
      <w:pPr>
        <w:pStyle w:val="Textonotapie"/>
        <w:tabs>
          <w:tab w:val="left" w:pos="567"/>
          <w:tab w:val="left" w:pos="709"/>
        </w:tabs>
        <w:rPr>
          <w:color w:val="000000" w:themeColor="text1"/>
          <w:sz w:val="16"/>
          <w:szCs w:val="16"/>
        </w:rPr>
      </w:pPr>
      <w:r w:rsidRPr="0046086B">
        <w:rPr>
          <w:color w:val="000000" w:themeColor="text1"/>
          <w:sz w:val="16"/>
          <w:szCs w:val="16"/>
        </w:rPr>
        <w:t>El artículo 12 estipula lo siguiente:</w:t>
      </w:r>
    </w:p>
    <w:p w14:paraId="3D25F524" w14:textId="77777777" w:rsidR="005579C3" w:rsidRPr="0046086B" w:rsidRDefault="005579C3" w:rsidP="0046086B">
      <w:pPr>
        <w:pStyle w:val="Textonotapie"/>
        <w:tabs>
          <w:tab w:val="left" w:pos="567"/>
          <w:tab w:val="left" w:pos="709"/>
        </w:tabs>
        <w:ind w:left="851" w:hanging="851"/>
        <w:rPr>
          <w:color w:val="000000" w:themeColor="text1"/>
          <w:sz w:val="16"/>
          <w:szCs w:val="16"/>
        </w:rPr>
      </w:pPr>
      <w:r w:rsidRPr="0046086B">
        <w:rPr>
          <w:color w:val="000000" w:themeColor="text1"/>
          <w:sz w:val="16"/>
          <w:szCs w:val="16"/>
        </w:rPr>
        <w:tab/>
      </w:r>
      <w:r w:rsidRPr="0046086B">
        <w:rPr>
          <w:color w:val="000000" w:themeColor="text1"/>
          <w:sz w:val="16"/>
          <w:szCs w:val="16"/>
        </w:rPr>
        <w:tab/>
      </w:r>
      <w:r w:rsidRPr="0046086B">
        <w:rPr>
          <w:color w:val="000000" w:themeColor="text1"/>
          <w:sz w:val="16"/>
          <w:szCs w:val="16"/>
        </w:rPr>
        <w:tab/>
        <w:t>[…]</w:t>
      </w:r>
    </w:p>
    <w:p w14:paraId="743A3832" w14:textId="77777777" w:rsidR="005579C3" w:rsidRPr="0046086B" w:rsidRDefault="005579C3" w:rsidP="0046086B">
      <w:pPr>
        <w:pStyle w:val="Prrafodelista"/>
        <w:autoSpaceDE w:val="0"/>
        <w:autoSpaceDN w:val="0"/>
        <w:ind w:left="851" w:right="724"/>
        <w:rPr>
          <w:iCs/>
          <w:color w:val="000000" w:themeColor="text1"/>
          <w:sz w:val="16"/>
          <w:szCs w:val="16"/>
        </w:rPr>
      </w:pPr>
      <w:r w:rsidRPr="0046086B">
        <w:rPr>
          <w:iCs/>
          <w:color w:val="000000" w:themeColor="text1"/>
          <w:sz w:val="16"/>
          <w:szCs w:val="16"/>
        </w:rPr>
        <w:t>4. a) En el ejercicio de su actuación profesional, evitar cualquier actitud que implique abuso, arbitrariedad o discriminación, así como cualquier acto de violencia física o moral;</w:t>
      </w:r>
    </w:p>
    <w:p w14:paraId="788AD95C" w14:textId="77777777" w:rsidR="005579C3" w:rsidRPr="0046086B" w:rsidRDefault="005579C3" w:rsidP="0046086B">
      <w:pPr>
        <w:pStyle w:val="Prrafodelista"/>
        <w:autoSpaceDE w:val="0"/>
        <w:autoSpaceDN w:val="0"/>
        <w:ind w:left="851" w:right="724"/>
        <w:rPr>
          <w:iCs/>
          <w:color w:val="000000" w:themeColor="text1"/>
          <w:sz w:val="16"/>
          <w:szCs w:val="16"/>
        </w:rPr>
      </w:pPr>
      <w:r w:rsidRPr="0046086B">
        <w:rPr>
          <w:iCs/>
          <w:color w:val="000000" w:themeColor="text1"/>
          <w:sz w:val="16"/>
          <w:szCs w:val="16"/>
        </w:rPr>
        <w:t>4. c) En el ejercicio de sus funciones deberán actuar con la decisión necesaria, y sin demora cuando de ello dependa evitar un daño grave inmediato e irreparable; rigiéndose al hacerlo por los principios de congruencia, oportunidad y proporcionalidad en la utilización de los medios a su alcance.</w:t>
      </w:r>
    </w:p>
    <w:p w14:paraId="01C1A0BA" w14:textId="77777777" w:rsidR="005579C3" w:rsidRPr="0046086B" w:rsidRDefault="005579C3" w:rsidP="0046086B">
      <w:pPr>
        <w:pStyle w:val="Prrafodelista"/>
        <w:autoSpaceDE w:val="0"/>
        <w:autoSpaceDN w:val="0"/>
        <w:ind w:left="851" w:right="724"/>
        <w:rPr>
          <w:color w:val="000000" w:themeColor="text1"/>
          <w:sz w:val="16"/>
          <w:szCs w:val="16"/>
        </w:rPr>
      </w:pPr>
      <w:r w:rsidRPr="0046086B">
        <w:rPr>
          <w:iCs/>
          <w:color w:val="000000" w:themeColor="text1"/>
          <w:sz w:val="16"/>
          <w:szCs w:val="16"/>
        </w:rPr>
        <w:t xml:space="preserve">5) Empleo de las armas. Solamente las utilizarán en las situaciones en que exista un riesgo racionalmente grave para su vida, su integridad física o las de terceras personas; o en aquellas circunstancias que puedan suponer un grave riesgo para el orden público y de conformidad con los principios a que se refiere en el apartado 4, párrafo c) de este artículo. </w:t>
      </w:r>
    </w:p>
  </w:footnote>
  <w:footnote w:id="74">
    <w:p w14:paraId="7C3FAE3F" w14:textId="3E8412B6" w:rsidR="005579C3" w:rsidRPr="0046086B" w:rsidRDefault="005579C3" w:rsidP="0046086B">
      <w:pPr>
        <w:pStyle w:val="Textonotapie"/>
        <w:tabs>
          <w:tab w:val="left" w:pos="567"/>
          <w:tab w:val="left" w:pos="709"/>
        </w:tabs>
        <w:rPr>
          <w:sz w:val="16"/>
          <w:szCs w:val="16"/>
        </w:rPr>
      </w:pPr>
      <w:r w:rsidRPr="0046086B">
        <w:rPr>
          <w:rStyle w:val="Refdenotaalpie"/>
          <w:sz w:val="16"/>
          <w:szCs w:val="16"/>
        </w:rPr>
        <w:footnoteRef/>
      </w:r>
      <w:r w:rsidRPr="0046086B">
        <w:rPr>
          <w:sz w:val="16"/>
          <w:szCs w:val="16"/>
        </w:rPr>
        <w:t xml:space="preserve"> </w:t>
      </w:r>
      <w:r w:rsidRPr="0046086B">
        <w:rPr>
          <w:sz w:val="16"/>
          <w:szCs w:val="16"/>
        </w:rPr>
        <w:tab/>
        <w:t>Código de conducta para funcionarios encargados de hacer cumplir la ley, Adoptado por la Asamblea General en su Resolución 34/169, de 17 de diciembre de 1979, disponible en:</w:t>
      </w:r>
    </w:p>
    <w:p w14:paraId="320CAD50" w14:textId="611F6114" w:rsidR="005579C3" w:rsidRPr="0046086B" w:rsidRDefault="009E306B" w:rsidP="0046086B">
      <w:pPr>
        <w:pStyle w:val="Textonotapie"/>
        <w:tabs>
          <w:tab w:val="left" w:pos="567"/>
          <w:tab w:val="left" w:pos="709"/>
        </w:tabs>
        <w:rPr>
          <w:sz w:val="16"/>
          <w:szCs w:val="16"/>
        </w:rPr>
      </w:pPr>
      <w:hyperlink r:id="rId5" w:history="1">
        <w:r w:rsidR="005579C3" w:rsidRPr="0046086B">
          <w:rPr>
            <w:rStyle w:val="Hipervnculo"/>
            <w:sz w:val="16"/>
            <w:szCs w:val="16"/>
          </w:rPr>
          <w:t>https://www.ohchr.org/SP/ProfessionalInterest/Pages/LawEnforcementOfficials.aspx</w:t>
        </w:r>
      </w:hyperlink>
      <w:r w:rsidR="005579C3" w:rsidRPr="0046086B">
        <w:rPr>
          <w:sz w:val="16"/>
          <w:szCs w:val="16"/>
        </w:rPr>
        <w:t xml:space="preserve"> </w:t>
      </w:r>
    </w:p>
  </w:footnote>
  <w:footnote w:id="75">
    <w:p w14:paraId="674A0CD6" w14:textId="391C8ADF" w:rsidR="005579C3" w:rsidRPr="0046086B" w:rsidRDefault="005579C3" w:rsidP="0046086B">
      <w:pPr>
        <w:pStyle w:val="Textonotapie"/>
        <w:tabs>
          <w:tab w:val="left" w:pos="567"/>
        </w:tabs>
        <w:rPr>
          <w:sz w:val="16"/>
          <w:szCs w:val="16"/>
          <w:lang w:val="es-ES"/>
        </w:rPr>
      </w:pPr>
      <w:r w:rsidRPr="0046086B">
        <w:rPr>
          <w:rStyle w:val="Refdenotaalpie"/>
          <w:sz w:val="16"/>
          <w:szCs w:val="16"/>
        </w:rPr>
        <w:footnoteRef/>
      </w:r>
      <w:r w:rsidRPr="0046086B">
        <w:rPr>
          <w:sz w:val="16"/>
          <w:szCs w:val="16"/>
        </w:rPr>
        <w:t xml:space="preserve"> </w:t>
      </w:r>
      <w:r w:rsidRPr="0046086B">
        <w:rPr>
          <w:sz w:val="16"/>
          <w:szCs w:val="16"/>
        </w:rPr>
        <w:tab/>
      </w:r>
      <w:r w:rsidRPr="0046086B">
        <w:rPr>
          <w:i/>
          <w:iCs/>
          <w:sz w:val="16"/>
          <w:szCs w:val="16"/>
        </w:rPr>
        <w:t>Cfr. Caso Montero Aranguren y otros (Retén de Catia) Vs. Venezuela, supra</w:t>
      </w:r>
      <w:r w:rsidRPr="0046086B">
        <w:rPr>
          <w:sz w:val="16"/>
          <w:szCs w:val="16"/>
        </w:rPr>
        <w:t>, párr. 75.</w:t>
      </w:r>
    </w:p>
  </w:footnote>
  <w:footnote w:id="76">
    <w:p w14:paraId="48394B8E" w14:textId="77777777" w:rsidR="005579C3" w:rsidRPr="0046086B" w:rsidRDefault="005579C3" w:rsidP="0046086B">
      <w:pPr>
        <w:tabs>
          <w:tab w:val="left" w:pos="567"/>
        </w:tabs>
        <w:rPr>
          <w:color w:val="000000" w:themeColor="text1"/>
          <w:sz w:val="16"/>
          <w:szCs w:val="16"/>
        </w:rPr>
      </w:pPr>
      <w:r w:rsidRPr="0046086B">
        <w:rPr>
          <w:rStyle w:val="Refdenotaalpie"/>
          <w:sz w:val="16"/>
          <w:szCs w:val="16"/>
        </w:rPr>
        <w:footnoteRef/>
      </w:r>
      <w:r w:rsidRPr="0046086B">
        <w:rPr>
          <w:sz w:val="16"/>
          <w:szCs w:val="16"/>
        </w:rPr>
        <w:t xml:space="preserve"> </w:t>
      </w:r>
      <w:r w:rsidRPr="0046086B">
        <w:rPr>
          <w:sz w:val="16"/>
          <w:szCs w:val="16"/>
        </w:rPr>
        <w:tab/>
      </w:r>
      <w:r w:rsidRPr="0046086B">
        <w:rPr>
          <w:rFonts w:cs="Arial"/>
          <w:color w:val="000000"/>
          <w:sz w:val="16"/>
          <w:szCs w:val="16"/>
          <w:lang w:val="es-ES" w:eastAsia="es-ES_tradnl"/>
        </w:rPr>
        <w:t>Artículo 12.-</w:t>
      </w:r>
      <w:r w:rsidRPr="0046086B">
        <w:rPr>
          <w:rFonts w:cs="Arial"/>
          <w:b/>
          <w:bCs/>
          <w:color w:val="000000"/>
          <w:sz w:val="16"/>
          <w:szCs w:val="16"/>
          <w:lang w:val="es-ES" w:eastAsia="es-ES_tradnl"/>
        </w:rPr>
        <w:t> </w:t>
      </w:r>
      <w:r w:rsidRPr="0046086B">
        <w:rPr>
          <w:rFonts w:cs="Arial"/>
          <w:color w:val="000000"/>
          <w:sz w:val="16"/>
          <w:szCs w:val="16"/>
          <w:lang w:val="es-ES" w:eastAsia="es-ES_tradnl"/>
        </w:rPr>
        <w:t>La actuación y eficacia de los miembros de la Policía Nacional se adecuará a los siguientes principios básicos:</w:t>
      </w:r>
    </w:p>
    <w:p w14:paraId="5914582F" w14:textId="77777777" w:rsidR="005579C3" w:rsidRPr="0046086B" w:rsidRDefault="005579C3" w:rsidP="0046086B">
      <w:pPr>
        <w:pStyle w:val="Prrafodelista"/>
        <w:widowControl/>
        <w:adjustRightInd/>
        <w:ind w:left="567" w:right="441"/>
        <w:textAlignment w:val="auto"/>
        <w:rPr>
          <w:sz w:val="16"/>
          <w:szCs w:val="16"/>
          <w:lang w:val="es-ES" w:eastAsia="es-ES_tradnl"/>
        </w:rPr>
      </w:pPr>
    </w:p>
    <w:p w14:paraId="7C87D57E" w14:textId="77777777" w:rsidR="005579C3" w:rsidRPr="0046086B" w:rsidRDefault="005579C3" w:rsidP="0046086B">
      <w:pPr>
        <w:pStyle w:val="Prrafodelista"/>
        <w:widowControl/>
        <w:adjustRightInd/>
        <w:ind w:left="567" w:right="441"/>
        <w:textAlignment w:val="auto"/>
        <w:rPr>
          <w:rFonts w:cs="Arial"/>
          <w:color w:val="000000"/>
          <w:sz w:val="16"/>
          <w:szCs w:val="16"/>
          <w:lang w:val="es-ES" w:eastAsia="es-ES_tradnl"/>
        </w:rPr>
      </w:pPr>
      <w:r w:rsidRPr="0046086B">
        <w:rPr>
          <w:rFonts w:cs="Arial"/>
          <w:color w:val="000000"/>
          <w:sz w:val="16"/>
          <w:szCs w:val="16"/>
          <w:lang w:val="es-ES" w:eastAsia="es-ES_tradnl"/>
        </w:rPr>
        <w:t>1) Respeto absoluto a la Constitución y las Leyes de la República. La obediencia debida, en ningún caso podrá amparar órdenes o acciones que entrañen la ejecución de actos que manifiestamente constituyan delito o sean contrarios a las Leyes;</w:t>
      </w:r>
    </w:p>
    <w:p w14:paraId="02163B7D" w14:textId="77777777" w:rsidR="005579C3" w:rsidRPr="0046086B" w:rsidRDefault="005579C3" w:rsidP="0046086B">
      <w:pPr>
        <w:pStyle w:val="Prrafodelista"/>
        <w:widowControl/>
        <w:adjustRightInd/>
        <w:ind w:left="567" w:right="441"/>
        <w:textAlignment w:val="auto"/>
        <w:rPr>
          <w:rFonts w:cs="Arial"/>
          <w:color w:val="000000"/>
          <w:sz w:val="16"/>
          <w:szCs w:val="16"/>
          <w:lang w:val="es-ES" w:eastAsia="es-ES_tradnl"/>
        </w:rPr>
      </w:pPr>
    </w:p>
    <w:p w14:paraId="29F4CF80" w14:textId="77777777" w:rsidR="005579C3" w:rsidRPr="0046086B" w:rsidRDefault="005579C3" w:rsidP="0046086B">
      <w:pPr>
        <w:pStyle w:val="Prrafodelista"/>
        <w:widowControl/>
        <w:adjustRightInd/>
        <w:ind w:left="567" w:right="441"/>
        <w:textAlignment w:val="auto"/>
        <w:rPr>
          <w:color w:val="000000"/>
          <w:sz w:val="16"/>
          <w:szCs w:val="16"/>
          <w:lang w:val="es-ES" w:eastAsia="es-ES_tradnl"/>
        </w:rPr>
      </w:pPr>
      <w:r w:rsidRPr="0046086B">
        <w:rPr>
          <w:color w:val="000000"/>
          <w:sz w:val="16"/>
          <w:szCs w:val="16"/>
          <w:lang w:val="es-ES" w:eastAsia="es-ES_tradnl"/>
        </w:rPr>
        <w:t>[…]</w:t>
      </w:r>
    </w:p>
    <w:p w14:paraId="2FC937F9" w14:textId="77777777" w:rsidR="005579C3" w:rsidRPr="0046086B" w:rsidRDefault="005579C3" w:rsidP="0046086B">
      <w:pPr>
        <w:pStyle w:val="Prrafodelista"/>
        <w:widowControl/>
        <w:adjustRightInd/>
        <w:ind w:left="567" w:right="441"/>
        <w:textAlignment w:val="auto"/>
        <w:rPr>
          <w:rFonts w:cs="Arial"/>
          <w:color w:val="000000"/>
          <w:sz w:val="16"/>
          <w:szCs w:val="16"/>
          <w:lang w:val="es-ES" w:eastAsia="es-ES_tradnl"/>
        </w:rPr>
      </w:pPr>
      <w:r w:rsidRPr="0046086B">
        <w:rPr>
          <w:color w:val="000000"/>
          <w:sz w:val="16"/>
          <w:szCs w:val="16"/>
          <w:lang w:val="es-ES" w:eastAsia="es-ES_tradnl"/>
        </w:rPr>
        <w:br/>
      </w:r>
      <w:r w:rsidRPr="0046086B">
        <w:rPr>
          <w:rFonts w:cs="Arial"/>
          <w:color w:val="000000"/>
          <w:sz w:val="16"/>
          <w:szCs w:val="16"/>
          <w:lang w:val="es-ES" w:eastAsia="es-ES_tradnl"/>
        </w:rPr>
        <w:t>4) Relaciones con la Comunidad.</w:t>
      </w:r>
    </w:p>
    <w:p w14:paraId="55750719" w14:textId="77777777" w:rsidR="005579C3" w:rsidRPr="0046086B" w:rsidRDefault="005579C3" w:rsidP="0046086B">
      <w:pPr>
        <w:pStyle w:val="Prrafodelista"/>
        <w:widowControl/>
        <w:adjustRightInd/>
        <w:ind w:left="567" w:right="441"/>
        <w:textAlignment w:val="auto"/>
        <w:rPr>
          <w:color w:val="000000"/>
          <w:sz w:val="16"/>
          <w:szCs w:val="16"/>
          <w:lang w:val="es-ES" w:eastAsia="es-ES_tradnl"/>
        </w:rPr>
      </w:pPr>
      <w:r w:rsidRPr="0046086B">
        <w:rPr>
          <w:color w:val="000000"/>
          <w:sz w:val="16"/>
          <w:szCs w:val="16"/>
          <w:lang w:val="es-ES" w:eastAsia="es-ES_tradnl"/>
        </w:rPr>
        <w:br/>
      </w:r>
      <w:r w:rsidRPr="0046086B">
        <w:rPr>
          <w:rFonts w:cs="Arial"/>
          <w:color w:val="000000"/>
          <w:sz w:val="16"/>
          <w:szCs w:val="16"/>
          <w:lang w:val="es-ES" w:eastAsia="es-ES_tradnl"/>
        </w:rPr>
        <w:t>Singularmente:</w:t>
      </w:r>
    </w:p>
    <w:p w14:paraId="059E3A67" w14:textId="77777777" w:rsidR="005579C3" w:rsidRPr="0046086B" w:rsidRDefault="005579C3" w:rsidP="0046086B">
      <w:pPr>
        <w:pStyle w:val="Prrafodelista"/>
        <w:widowControl/>
        <w:adjustRightInd/>
        <w:ind w:left="567" w:right="441"/>
        <w:textAlignment w:val="auto"/>
        <w:rPr>
          <w:rFonts w:cs="Arial"/>
          <w:color w:val="000000"/>
          <w:sz w:val="16"/>
          <w:szCs w:val="16"/>
          <w:lang w:val="es-ES" w:eastAsia="es-ES_tradnl"/>
        </w:rPr>
      </w:pPr>
      <w:r w:rsidRPr="0046086B">
        <w:rPr>
          <w:rFonts w:cs="Arial"/>
          <w:color w:val="000000"/>
          <w:sz w:val="16"/>
          <w:szCs w:val="16"/>
          <w:lang w:val="es-ES" w:eastAsia="es-ES_tradnl"/>
        </w:rPr>
        <w:t>a) En el ejercicio de su actuación profesional, evitar cualquier actitud que implique abuso, arbitrariedad o discriminación, así como cualquier acto de violencia física o moral;</w:t>
      </w:r>
    </w:p>
    <w:p w14:paraId="22333F9C" w14:textId="77777777" w:rsidR="005579C3" w:rsidRPr="0046086B" w:rsidRDefault="005579C3" w:rsidP="0046086B">
      <w:pPr>
        <w:pStyle w:val="Prrafodelista"/>
        <w:widowControl/>
        <w:adjustRightInd/>
        <w:ind w:left="567" w:right="441"/>
        <w:textAlignment w:val="auto"/>
        <w:rPr>
          <w:color w:val="000000"/>
          <w:sz w:val="16"/>
          <w:szCs w:val="16"/>
          <w:lang w:val="es-ES" w:eastAsia="es-ES_tradnl"/>
        </w:rPr>
      </w:pPr>
      <w:r w:rsidRPr="0046086B">
        <w:rPr>
          <w:color w:val="000000"/>
          <w:sz w:val="16"/>
          <w:szCs w:val="16"/>
          <w:lang w:val="es-ES" w:eastAsia="es-ES_tradnl"/>
        </w:rPr>
        <w:br/>
      </w:r>
      <w:r w:rsidRPr="0046086B">
        <w:rPr>
          <w:rFonts w:cs="Arial"/>
          <w:color w:val="000000"/>
          <w:sz w:val="16"/>
          <w:szCs w:val="16"/>
          <w:lang w:val="es-ES" w:eastAsia="es-ES_tradnl"/>
        </w:rPr>
        <w:t>b) Observar en todo momento un trato correcto y esmerado en sus relaciones con los ciudadanos a quienes procurará auxiliar y proteger, siempre que las circunstancias lo aconsejen o fueren requeridos para ello. […];</w:t>
      </w:r>
    </w:p>
    <w:p w14:paraId="231C145F" w14:textId="77777777" w:rsidR="005579C3" w:rsidRPr="0046086B" w:rsidRDefault="005579C3" w:rsidP="0046086B">
      <w:pPr>
        <w:pStyle w:val="Prrafodelista"/>
        <w:widowControl/>
        <w:adjustRightInd/>
        <w:ind w:left="567" w:right="441"/>
        <w:textAlignment w:val="auto"/>
        <w:rPr>
          <w:rFonts w:cs="Arial"/>
          <w:color w:val="000000"/>
          <w:sz w:val="16"/>
          <w:szCs w:val="16"/>
          <w:lang w:val="es-ES" w:eastAsia="es-ES_tradnl"/>
        </w:rPr>
      </w:pPr>
      <w:r w:rsidRPr="0046086B">
        <w:rPr>
          <w:color w:val="000000"/>
          <w:sz w:val="16"/>
          <w:szCs w:val="16"/>
          <w:lang w:val="es-ES" w:eastAsia="es-ES_tradnl"/>
        </w:rPr>
        <w:br/>
      </w:r>
      <w:r w:rsidRPr="0046086B">
        <w:rPr>
          <w:rFonts w:cs="Arial"/>
          <w:color w:val="000000"/>
          <w:sz w:val="16"/>
          <w:szCs w:val="16"/>
          <w:lang w:val="es-ES" w:eastAsia="es-ES_tradnl"/>
        </w:rPr>
        <w:t>c) En el ejercicio de sus funciones deberán actuar con la decisión necesaria, y sin demora cuando de ello dependa evitar un daño grave inmediato e irreparable; rigiéndose al hacerlo por los principios de congruencia, oportunidad y proporcionalidad en la utilización de los medios a su alcance.</w:t>
      </w:r>
    </w:p>
    <w:p w14:paraId="07464C0B" w14:textId="77777777" w:rsidR="005579C3" w:rsidRPr="0046086B" w:rsidRDefault="005579C3" w:rsidP="0046086B">
      <w:pPr>
        <w:pStyle w:val="Prrafodelista"/>
        <w:widowControl/>
        <w:adjustRightInd/>
        <w:ind w:left="567" w:right="441"/>
        <w:textAlignment w:val="auto"/>
        <w:rPr>
          <w:rFonts w:cs="Arial"/>
          <w:color w:val="000000"/>
          <w:sz w:val="16"/>
          <w:szCs w:val="16"/>
          <w:lang w:val="es-ES" w:eastAsia="es-ES_tradnl"/>
        </w:rPr>
      </w:pPr>
    </w:p>
    <w:p w14:paraId="6162EE6B" w14:textId="2238F6B7" w:rsidR="005579C3" w:rsidRPr="0046086B" w:rsidRDefault="005579C3" w:rsidP="0046086B">
      <w:pPr>
        <w:pStyle w:val="Prrafodelista"/>
        <w:widowControl/>
        <w:adjustRightInd/>
        <w:ind w:left="567" w:right="441"/>
        <w:textAlignment w:val="auto"/>
        <w:rPr>
          <w:color w:val="000000"/>
          <w:sz w:val="16"/>
          <w:szCs w:val="16"/>
          <w:lang w:val="es-ES" w:eastAsia="es-ES_tradnl"/>
        </w:rPr>
      </w:pPr>
      <w:r w:rsidRPr="0046086B">
        <w:rPr>
          <w:rFonts w:cs="Arial"/>
          <w:color w:val="000000"/>
          <w:sz w:val="16"/>
          <w:szCs w:val="16"/>
          <w:lang w:val="es-ES" w:eastAsia="es-ES_tradnl"/>
        </w:rPr>
        <w:t>5) Empleo de las armas. Solamente las utilizarán en las situaciones en que exista un riesgo racionalmente grave para su vida, su integridad física o las de terceras personas; o en aquellas circunstancias que puedan suponer un grave riesgo para el orden público y de conformidad con los principios a que se refiere en el apartado 4, párrafo c) de este artículo.</w:t>
      </w:r>
    </w:p>
  </w:footnote>
  <w:footnote w:id="77">
    <w:p w14:paraId="1CE4AEEE" w14:textId="17084F7A" w:rsidR="005579C3" w:rsidRPr="0046086B" w:rsidRDefault="005579C3" w:rsidP="0046086B">
      <w:pPr>
        <w:pStyle w:val="Textonotapie"/>
        <w:tabs>
          <w:tab w:val="left" w:pos="567"/>
          <w:tab w:val="left" w:pos="709"/>
        </w:tabs>
        <w:rPr>
          <w:sz w:val="16"/>
          <w:szCs w:val="16"/>
          <w:lang w:val="es-ES"/>
        </w:rPr>
      </w:pPr>
      <w:r w:rsidRPr="0046086B">
        <w:rPr>
          <w:rStyle w:val="Refdenotaalpie"/>
          <w:sz w:val="16"/>
          <w:szCs w:val="16"/>
        </w:rPr>
        <w:footnoteRef/>
      </w:r>
      <w:r w:rsidRPr="0046086B">
        <w:rPr>
          <w:sz w:val="16"/>
          <w:szCs w:val="16"/>
          <w:lang w:val="es-ES"/>
        </w:rPr>
        <w:t xml:space="preserve"> </w:t>
      </w:r>
      <w:r w:rsidRPr="0046086B">
        <w:rPr>
          <w:sz w:val="16"/>
          <w:szCs w:val="16"/>
          <w:lang w:val="es-ES"/>
        </w:rPr>
        <w:tab/>
        <w:t xml:space="preserve">Ver, </w:t>
      </w:r>
      <w:r w:rsidRPr="0046086B">
        <w:rPr>
          <w:i/>
          <w:iCs/>
          <w:sz w:val="16"/>
          <w:szCs w:val="16"/>
          <w:lang w:val="es-ES"/>
        </w:rPr>
        <w:t>mutatis mutandis</w:t>
      </w:r>
      <w:r w:rsidRPr="0046086B">
        <w:rPr>
          <w:sz w:val="16"/>
          <w:szCs w:val="16"/>
          <w:lang w:val="es-ES"/>
        </w:rPr>
        <w:t xml:space="preserve">, TEDH, </w:t>
      </w:r>
      <w:r w:rsidRPr="0046086B">
        <w:rPr>
          <w:i/>
          <w:iCs/>
          <w:sz w:val="16"/>
          <w:szCs w:val="16"/>
          <w:lang w:val="es-ES"/>
        </w:rPr>
        <w:t>Case of Makaratzis v. Greece</w:t>
      </w:r>
      <w:r w:rsidRPr="0046086B">
        <w:rPr>
          <w:sz w:val="16"/>
          <w:szCs w:val="16"/>
          <w:lang w:val="es-ES"/>
        </w:rPr>
        <w:t xml:space="preserve"> (GS), no. 50385/99, Sentencia de 20 de diciembre de 2004, párr.58, y </w:t>
      </w:r>
      <w:r w:rsidRPr="0046086B">
        <w:rPr>
          <w:i/>
          <w:iCs/>
          <w:sz w:val="16"/>
          <w:szCs w:val="16"/>
          <w:lang w:val="es-ES"/>
        </w:rPr>
        <w:t>Case of Hilda Hafsteinsdóttir v. Iceland</w:t>
      </w:r>
      <w:r w:rsidRPr="0046086B">
        <w:rPr>
          <w:sz w:val="16"/>
          <w:szCs w:val="16"/>
          <w:lang w:val="es-ES"/>
        </w:rPr>
        <w:t>, no. 40905/98, Sentencia de 8 de junio de 2004, párr. 56.</w:t>
      </w:r>
    </w:p>
  </w:footnote>
  <w:footnote w:id="78">
    <w:p w14:paraId="76D77DBC" w14:textId="09A58E06" w:rsidR="005579C3" w:rsidRPr="0046086B" w:rsidRDefault="005579C3" w:rsidP="0046086B">
      <w:pPr>
        <w:pStyle w:val="Textonotapie"/>
        <w:tabs>
          <w:tab w:val="left" w:pos="567"/>
          <w:tab w:val="left" w:pos="709"/>
        </w:tabs>
        <w:rPr>
          <w:rStyle w:val="Refdenotaalpie"/>
          <w:sz w:val="16"/>
          <w:szCs w:val="16"/>
          <w:vertAlign w:val="baseline"/>
          <w:lang w:val="es-ES"/>
        </w:rPr>
      </w:pPr>
      <w:r w:rsidRPr="0046086B">
        <w:rPr>
          <w:rStyle w:val="Refdenotaalpie"/>
          <w:sz w:val="16"/>
          <w:szCs w:val="16"/>
        </w:rPr>
        <w:footnoteRef/>
      </w:r>
      <w:r w:rsidRPr="0046086B">
        <w:rPr>
          <w:rStyle w:val="Refdenotaalpie"/>
          <w:sz w:val="16"/>
          <w:szCs w:val="16"/>
        </w:rPr>
        <w:t xml:space="preserve"> </w:t>
      </w:r>
      <w:r w:rsidRPr="0046086B">
        <w:rPr>
          <w:rStyle w:val="Refdenotaalpie"/>
          <w:sz w:val="16"/>
          <w:szCs w:val="16"/>
        </w:rPr>
        <w:tab/>
      </w:r>
      <w:r w:rsidRPr="0046086B">
        <w:rPr>
          <w:i/>
          <w:iCs/>
          <w:sz w:val="16"/>
          <w:szCs w:val="16"/>
        </w:rPr>
        <w:t>Cfr</w:t>
      </w:r>
      <w:r w:rsidRPr="0046086B">
        <w:rPr>
          <w:sz w:val="16"/>
          <w:szCs w:val="16"/>
        </w:rPr>
        <w:t xml:space="preserve">. </w:t>
      </w:r>
      <w:r w:rsidRPr="0046086B">
        <w:rPr>
          <w:rStyle w:val="Refdenotaalpie"/>
          <w:sz w:val="16"/>
          <w:szCs w:val="16"/>
          <w:vertAlign w:val="baseline"/>
        </w:rPr>
        <w:t xml:space="preserve">Corte Internacional de Justicia, </w:t>
      </w:r>
      <w:r w:rsidRPr="0046086B">
        <w:rPr>
          <w:rStyle w:val="Refdenotaalpie"/>
          <w:i/>
          <w:iCs/>
          <w:sz w:val="16"/>
          <w:szCs w:val="16"/>
          <w:vertAlign w:val="baseline"/>
        </w:rPr>
        <w:t>Cases South West Africa (Ethiopia v. South Africa; Liberia v. South Africa),</w:t>
      </w:r>
      <w:r w:rsidRPr="0046086B">
        <w:rPr>
          <w:i/>
          <w:iCs/>
          <w:sz w:val="16"/>
          <w:szCs w:val="16"/>
        </w:rPr>
        <w:t xml:space="preserve"> Second Phase</w:t>
      </w:r>
      <w:r w:rsidRPr="0046086B">
        <w:rPr>
          <w:sz w:val="16"/>
          <w:szCs w:val="16"/>
        </w:rPr>
        <w:t xml:space="preserve">, Sentencia de 18 de julio de 1966, párr. </w:t>
      </w:r>
      <w:r w:rsidRPr="0046086B">
        <w:rPr>
          <w:sz w:val="16"/>
          <w:szCs w:val="16"/>
          <w:lang w:val="en-US"/>
        </w:rPr>
        <w:t xml:space="preserve">98. Ver también, Divac Öberg, Marko, “The Legal Effects of Resolutions of the UN Security Council and the General Assembly in the Jurisprudence of the ICJ”, The European Journal of International Law Vol. 16 no. 5, págs. </w:t>
      </w:r>
      <w:r w:rsidRPr="0046086B">
        <w:rPr>
          <w:sz w:val="16"/>
          <w:szCs w:val="16"/>
          <w:lang w:val="es-ES"/>
        </w:rPr>
        <w:t xml:space="preserve">883 y 884. </w:t>
      </w:r>
    </w:p>
  </w:footnote>
  <w:footnote w:id="79">
    <w:p w14:paraId="36CE66BF" w14:textId="40F80B4B"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w:t>
      </w:r>
      <w:r w:rsidRPr="0046086B">
        <w:rPr>
          <w:rFonts w:cs="Calibri"/>
          <w:color w:val="000000" w:themeColor="text1"/>
          <w:sz w:val="16"/>
          <w:szCs w:val="16"/>
          <w:lang w:eastAsia="en-US"/>
        </w:rPr>
        <w:t xml:space="preserve"> Declaración de J.M.R.V. ante la Policía Nacional, de 19 de abril de 1996 (expediente de prueba, folio 488).</w:t>
      </w:r>
    </w:p>
  </w:footnote>
  <w:footnote w:id="80">
    <w:p w14:paraId="76CC747F" w14:textId="77777777"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iCs/>
          <w:color w:val="000000" w:themeColor="text1"/>
          <w:sz w:val="16"/>
          <w:szCs w:val="16"/>
        </w:rPr>
        <w:t>Cfr</w:t>
      </w:r>
      <w:r w:rsidRPr="0046086B">
        <w:rPr>
          <w:color w:val="000000" w:themeColor="text1"/>
          <w:sz w:val="16"/>
          <w:szCs w:val="16"/>
        </w:rPr>
        <w:t>. Declaración indagatoria de F.A.C.P. ante el Juez Primero de Distrito del Crimen de Chinandega, de 29 de abril de 1996 (expediente de prueba, folio 1132).</w:t>
      </w:r>
    </w:p>
  </w:footnote>
  <w:footnote w:id="81">
    <w:p w14:paraId="1AE0C1A9" w14:textId="4286D76C" w:rsidR="005579C3" w:rsidRPr="0046086B" w:rsidRDefault="005579C3" w:rsidP="0046086B">
      <w:pPr>
        <w:pStyle w:val="Textonotapie"/>
        <w:tabs>
          <w:tab w:val="left" w:pos="567"/>
          <w:tab w:val="left" w:pos="709"/>
        </w:tabs>
        <w:rPr>
          <w:sz w:val="16"/>
          <w:szCs w:val="16"/>
          <w:lang w:val="es-ES"/>
        </w:rPr>
      </w:pPr>
      <w:r w:rsidRPr="0046086B">
        <w:rPr>
          <w:rStyle w:val="Refdenotaalpie"/>
          <w:sz w:val="16"/>
          <w:szCs w:val="16"/>
        </w:rPr>
        <w:footnoteRef/>
      </w:r>
      <w:r w:rsidRPr="0046086B">
        <w:rPr>
          <w:sz w:val="16"/>
          <w:szCs w:val="16"/>
        </w:rPr>
        <w:t xml:space="preserve"> </w:t>
      </w:r>
      <w:r w:rsidRPr="0046086B">
        <w:rPr>
          <w:sz w:val="16"/>
          <w:szCs w:val="16"/>
          <w:lang w:val="es-ES"/>
        </w:rPr>
        <w:tab/>
      </w:r>
      <w:r w:rsidRPr="0046086B">
        <w:rPr>
          <w:rFonts w:cs="Calibri"/>
          <w:color w:val="000000" w:themeColor="text1"/>
          <w:sz w:val="16"/>
          <w:szCs w:val="16"/>
          <w:lang w:eastAsia="en-US"/>
        </w:rPr>
        <w:t>Declaración indagatoria de R.J.S.O. ante la Policía Nacional, de 29 de abril de 1996 (expediente de prueba, folio 2068),</w:t>
      </w:r>
      <w:r w:rsidRPr="0046086B">
        <w:rPr>
          <w:color w:val="000000" w:themeColor="text1"/>
          <w:sz w:val="16"/>
          <w:szCs w:val="16"/>
        </w:rPr>
        <w:t xml:space="preserve"> Declaración indagatoria de F.A.C.P. ante el Juez Primero de Distrito del Crimen de Chinandega, de 29 de abril de 1996 (expediente de prueba, folio 2063).</w:t>
      </w:r>
    </w:p>
  </w:footnote>
  <w:footnote w:id="82">
    <w:p w14:paraId="2863F1AD" w14:textId="39244B4E"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rFonts w:eastAsia="MS Mincho"/>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rFonts w:cs="Calibri"/>
          <w:i/>
          <w:color w:val="000000" w:themeColor="text1"/>
          <w:sz w:val="16"/>
          <w:szCs w:val="16"/>
        </w:rPr>
        <w:t>Cfr</w:t>
      </w:r>
      <w:r w:rsidRPr="0046086B">
        <w:rPr>
          <w:rFonts w:cs="Calibri"/>
          <w:color w:val="000000" w:themeColor="text1"/>
          <w:sz w:val="16"/>
          <w:szCs w:val="16"/>
        </w:rPr>
        <w:t>. Declaración de J.M.R.V. ante la Policía Nacional, de 19 de abril de 1996 (expediente de prueba, folio 488).</w:t>
      </w:r>
    </w:p>
  </w:footnote>
  <w:footnote w:id="83">
    <w:p w14:paraId="2B9081A1" w14:textId="77777777"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Auto de segura y formal prisión, dictado por el Juzgado Primero de Distrito del Crimen, de 6 de mayo de 1996 (expediente de prueba, folio 3284).</w:t>
      </w:r>
    </w:p>
  </w:footnote>
  <w:footnote w:id="84">
    <w:p w14:paraId="7AE9D96B" w14:textId="615AEB91"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xml:space="preserve">. Declaración </w:t>
      </w:r>
      <w:r w:rsidRPr="0046086B">
        <w:rPr>
          <w:i/>
          <w:color w:val="000000" w:themeColor="text1"/>
          <w:sz w:val="16"/>
          <w:szCs w:val="16"/>
        </w:rPr>
        <w:t>ad-inquerendum</w:t>
      </w:r>
      <w:r w:rsidRPr="0046086B">
        <w:rPr>
          <w:color w:val="000000" w:themeColor="text1"/>
          <w:sz w:val="16"/>
          <w:szCs w:val="16"/>
        </w:rPr>
        <w:t xml:space="preserve"> realizada por el Juez Primero de Distrito del Crimen del Departamento de Chinandega a M.Q.P., de 30 de abril de 1996 (expediente de prueba, folios 3200 y 3204).</w:t>
      </w:r>
    </w:p>
  </w:footnote>
  <w:footnote w:id="85">
    <w:p w14:paraId="3F027E64" w14:textId="77777777" w:rsidR="005579C3" w:rsidRPr="0046086B" w:rsidRDefault="005579C3" w:rsidP="0046086B">
      <w:pPr>
        <w:pStyle w:val="Textonotapie"/>
        <w:tabs>
          <w:tab w:val="left" w:pos="567"/>
          <w:tab w:val="left" w:pos="709"/>
        </w:tabs>
        <w:rPr>
          <w:bCs/>
          <w:iCs/>
          <w:color w:val="000000" w:themeColor="text1"/>
          <w:spacing w:val="-6"/>
          <w:sz w:val="16"/>
          <w:szCs w:val="16"/>
        </w:rPr>
      </w:pPr>
      <w:r w:rsidRPr="0046086B">
        <w:rPr>
          <w:rStyle w:val="Refdenotaalpie"/>
          <w:color w:val="000000" w:themeColor="text1"/>
          <w:spacing w:val="-6"/>
          <w:sz w:val="16"/>
          <w:szCs w:val="16"/>
        </w:rPr>
        <w:footnoteRef/>
      </w:r>
      <w:r w:rsidRPr="0046086B">
        <w:rPr>
          <w:color w:val="000000" w:themeColor="text1"/>
          <w:spacing w:val="-6"/>
          <w:sz w:val="16"/>
          <w:szCs w:val="16"/>
        </w:rPr>
        <w:t xml:space="preserve"> </w:t>
      </w:r>
      <w:r w:rsidRPr="0046086B">
        <w:rPr>
          <w:color w:val="000000" w:themeColor="text1"/>
          <w:spacing w:val="-6"/>
          <w:sz w:val="16"/>
          <w:szCs w:val="16"/>
        </w:rPr>
        <w:tab/>
      </w:r>
      <w:r w:rsidRPr="0046086B">
        <w:rPr>
          <w:i/>
          <w:iCs/>
          <w:color w:val="000000" w:themeColor="text1"/>
          <w:spacing w:val="-6"/>
          <w:sz w:val="16"/>
          <w:szCs w:val="16"/>
        </w:rPr>
        <w:t>Cfr</w:t>
      </w:r>
      <w:r w:rsidRPr="0046086B">
        <w:rPr>
          <w:color w:val="000000" w:themeColor="text1"/>
          <w:spacing w:val="-6"/>
          <w:sz w:val="16"/>
          <w:szCs w:val="16"/>
        </w:rPr>
        <w:t xml:space="preserve">. </w:t>
      </w:r>
      <w:r w:rsidRPr="0046086B">
        <w:rPr>
          <w:i/>
          <w:color w:val="000000" w:themeColor="text1"/>
          <w:sz w:val="16"/>
          <w:szCs w:val="16"/>
        </w:rPr>
        <w:t>Caso Nadege Dorzema y otros Vs. República Dominicana, supra</w:t>
      </w:r>
      <w:r w:rsidRPr="0046086B">
        <w:rPr>
          <w:color w:val="000000" w:themeColor="text1"/>
          <w:sz w:val="16"/>
          <w:szCs w:val="16"/>
        </w:rPr>
        <w:t xml:space="preserve">, </w:t>
      </w:r>
      <w:r w:rsidRPr="0046086B">
        <w:rPr>
          <w:color w:val="000000" w:themeColor="text1"/>
          <w:spacing w:val="-6"/>
          <w:sz w:val="16"/>
          <w:szCs w:val="16"/>
        </w:rPr>
        <w:t xml:space="preserve">párr. 85 ii), y TEDH, </w:t>
      </w:r>
      <w:r w:rsidRPr="0046086B">
        <w:rPr>
          <w:bCs/>
          <w:i/>
          <w:color w:val="000000" w:themeColor="text1"/>
          <w:spacing w:val="-6"/>
          <w:sz w:val="16"/>
          <w:szCs w:val="16"/>
        </w:rPr>
        <w:t>Caso Kakoulli v. Turquía,</w:t>
      </w:r>
      <w:r w:rsidRPr="0046086B">
        <w:rPr>
          <w:bCs/>
          <w:iCs/>
          <w:color w:val="000000" w:themeColor="text1"/>
          <w:spacing w:val="-6"/>
          <w:sz w:val="16"/>
          <w:szCs w:val="16"/>
        </w:rPr>
        <w:t xml:space="preserve"> no. </w:t>
      </w:r>
    </w:p>
    <w:p w14:paraId="6506DE5E" w14:textId="5DB79054" w:rsidR="005579C3" w:rsidRPr="0046086B" w:rsidRDefault="005579C3" w:rsidP="0046086B">
      <w:pPr>
        <w:pStyle w:val="Textonotapie"/>
        <w:tabs>
          <w:tab w:val="left" w:pos="567"/>
          <w:tab w:val="left" w:pos="709"/>
        </w:tabs>
        <w:rPr>
          <w:strike/>
          <w:color w:val="000000" w:themeColor="text1"/>
          <w:spacing w:val="-6"/>
          <w:sz w:val="16"/>
          <w:szCs w:val="16"/>
          <w:lang w:val="es-MX"/>
        </w:rPr>
      </w:pPr>
      <w:r w:rsidRPr="0046086B">
        <w:rPr>
          <w:bCs/>
          <w:iCs/>
          <w:color w:val="000000" w:themeColor="text1"/>
          <w:spacing w:val="-6"/>
          <w:sz w:val="16"/>
          <w:szCs w:val="16"/>
        </w:rPr>
        <w:t>38595/97</w:t>
      </w:r>
      <w:r w:rsidRPr="0046086B">
        <w:rPr>
          <w:sz w:val="16"/>
          <w:szCs w:val="16"/>
        </w:rPr>
        <w:t>, Sentencia de 22 de noviembre de 2005</w:t>
      </w:r>
      <w:r w:rsidRPr="0046086B">
        <w:rPr>
          <w:bCs/>
          <w:color w:val="000000" w:themeColor="text1"/>
          <w:spacing w:val="-6"/>
          <w:sz w:val="16"/>
          <w:szCs w:val="16"/>
        </w:rPr>
        <w:t>, pá</w:t>
      </w:r>
      <w:r w:rsidRPr="0046086B">
        <w:rPr>
          <w:color w:val="000000" w:themeColor="text1"/>
          <w:spacing w:val="-6"/>
          <w:sz w:val="16"/>
          <w:szCs w:val="16"/>
          <w:lang w:val="es-MX"/>
        </w:rPr>
        <w:t>rr. 108.</w:t>
      </w:r>
    </w:p>
  </w:footnote>
  <w:footnote w:id="86">
    <w:p w14:paraId="24D18FE2" w14:textId="09419A26" w:rsidR="005579C3" w:rsidRPr="0046086B" w:rsidRDefault="005579C3" w:rsidP="0046086B">
      <w:pPr>
        <w:pStyle w:val="Textonotapie"/>
        <w:tabs>
          <w:tab w:val="left" w:pos="567"/>
          <w:tab w:val="left" w:pos="709"/>
        </w:tabs>
        <w:rPr>
          <w:color w:val="000000" w:themeColor="text1"/>
          <w:sz w:val="16"/>
          <w:szCs w:val="16"/>
          <w:lang w:val="es-CR"/>
        </w:rPr>
      </w:pPr>
      <w:r w:rsidRPr="0046086B">
        <w:rPr>
          <w:rStyle w:val="Refdenotaalpie"/>
          <w:rFonts w:eastAsia="MS Mincho"/>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xml:space="preserve">. Principios Básicos sobre el Empleo de la Fuerza y de Armas de Fuego por los Funcionarios Encargados de Hacer Cumplir la Ley, </w:t>
      </w:r>
      <w:r w:rsidRPr="0046086B">
        <w:rPr>
          <w:i/>
          <w:iCs/>
          <w:color w:val="000000" w:themeColor="text1"/>
          <w:sz w:val="16"/>
          <w:szCs w:val="16"/>
        </w:rPr>
        <w:t>supra</w:t>
      </w:r>
      <w:r w:rsidRPr="0046086B">
        <w:rPr>
          <w:color w:val="000000" w:themeColor="text1"/>
          <w:sz w:val="16"/>
          <w:szCs w:val="16"/>
        </w:rPr>
        <w:t>, Principio no. 9.</w:t>
      </w:r>
    </w:p>
  </w:footnote>
  <w:footnote w:id="87">
    <w:p w14:paraId="434FA8F1" w14:textId="412AEF6D" w:rsidR="005579C3" w:rsidRPr="0046086B" w:rsidRDefault="005579C3" w:rsidP="0046086B">
      <w:pPr>
        <w:pStyle w:val="Textonotapie"/>
        <w:tabs>
          <w:tab w:val="left" w:pos="567"/>
          <w:tab w:val="left" w:pos="709"/>
        </w:tabs>
        <w:rPr>
          <w:sz w:val="16"/>
          <w:szCs w:val="16"/>
          <w:lang w:val="es-ES"/>
        </w:rPr>
      </w:pPr>
      <w:r w:rsidRPr="0046086B">
        <w:rPr>
          <w:rStyle w:val="Refdenotaalpie"/>
          <w:sz w:val="16"/>
          <w:szCs w:val="16"/>
        </w:rPr>
        <w:footnoteRef/>
      </w:r>
      <w:r w:rsidRPr="0046086B">
        <w:rPr>
          <w:sz w:val="16"/>
          <w:szCs w:val="16"/>
        </w:rPr>
        <w:t xml:space="preserve"> </w:t>
      </w:r>
      <w:r w:rsidRPr="0046086B">
        <w:rPr>
          <w:sz w:val="16"/>
          <w:szCs w:val="16"/>
        </w:rPr>
        <w:tab/>
      </w:r>
      <w:r w:rsidRPr="0046086B">
        <w:rPr>
          <w:i/>
          <w:iCs/>
          <w:sz w:val="16"/>
          <w:szCs w:val="16"/>
        </w:rPr>
        <w:t xml:space="preserve">Cfr. </w:t>
      </w:r>
      <w:r w:rsidRPr="0046086B">
        <w:rPr>
          <w:i/>
          <w:color w:val="000000" w:themeColor="text1"/>
          <w:sz w:val="16"/>
          <w:szCs w:val="16"/>
        </w:rPr>
        <w:t>Caso Nadege Dorzema y otros Vs. República Dominicana, supra</w:t>
      </w:r>
      <w:r w:rsidRPr="0046086B">
        <w:rPr>
          <w:sz w:val="16"/>
          <w:szCs w:val="16"/>
        </w:rPr>
        <w:t>, párr. 88.</w:t>
      </w:r>
    </w:p>
  </w:footnote>
  <w:footnote w:id="88">
    <w:p w14:paraId="4E7D2B1B" w14:textId="34DDB338" w:rsidR="005579C3" w:rsidRPr="0046086B" w:rsidRDefault="005579C3" w:rsidP="0046086B">
      <w:pPr>
        <w:pStyle w:val="Textonotapie"/>
        <w:tabs>
          <w:tab w:val="left" w:pos="567"/>
          <w:tab w:val="left" w:pos="709"/>
        </w:tabs>
        <w:rPr>
          <w:sz w:val="16"/>
          <w:szCs w:val="16"/>
        </w:rPr>
      </w:pPr>
      <w:r w:rsidRPr="0046086B">
        <w:rPr>
          <w:rStyle w:val="Refdenotaalpie"/>
          <w:sz w:val="16"/>
          <w:szCs w:val="16"/>
        </w:rPr>
        <w:footnoteRef/>
      </w:r>
      <w:r w:rsidRPr="0046086B">
        <w:rPr>
          <w:sz w:val="16"/>
          <w:szCs w:val="16"/>
        </w:rPr>
        <w:t xml:space="preserve"> </w:t>
      </w:r>
      <w:r w:rsidRPr="0046086B">
        <w:rPr>
          <w:sz w:val="16"/>
          <w:szCs w:val="16"/>
        </w:rPr>
        <w:tab/>
      </w:r>
      <w:r w:rsidRPr="0046086B">
        <w:rPr>
          <w:i/>
          <w:iCs/>
          <w:sz w:val="16"/>
          <w:szCs w:val="16"/>
        </w:rPr>
        <w:t>Cfr</w:t>
      </w:r>
      <w:r w:rsidRPr="0046086B">
        <w:rPr>
          <w:sz w:val="16"/>
          <w:szCs w:val="16"/>
        </w:rPr>
        <w:t>. ACNUDH, Principios y Directrices recomendados sobre los derechos humanos en las fronteras internacionales, Principio no. 2.</w:t>
      </w:r>
    </w:p>
  </w:footnote>
  <w:footnote w:id="89">
    <w:p w14:paraId="19D52B4A" w14:textId="77777777"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Auto de segura y formal prisión, dictado por el Juzgado Primero de Distrito del Crimen, de 6 de mayo de 1996 (expediente de prueba, folio 3289).</w:t>
      </w:r>
    </w:p>
  </w:footnote>
  <w:footnote w:id="90">
    <w:p w14:paraId="2EFEF7BF" w14:textId="55DF6933" w:rsidR="005579C3" w:rsidRPr="0046086B" w:rsidRDefault="005579C3" w:rsidP="0046086B">
      <w:pPr>
        <w:pStyle w:val="Textonotapie"/>
        <w:tabs>
          <w:tab w:val="left" w:pos="567"/>
          <w:tab w:val="left" w:pos="709"/>
        </w:tabs>
        <w:rPr>
          <w:b/>
          <w:bCs/>
          <w:sz w:val="16"/>
          <w:szCs w:val="16"/>
          <w:lang w:val="es-ES"/>
        </w:rPr>
      </w:pPr>
      <w:r w:rsidRPr="0046086B">
        <w:rPr>
          <w:rStyle w:val="Refdenotaalpie"/>
          <w:sz w:val="16"/>
          <w:szCs w:val="16"/>
        </w:rPr>
        <w:footnoteRef/>
      </w:r>
      <w:r w:rsidRPr="0046086B">
        <w:rPr>
          <w:sz w:val="16"/>
          <w:szCs w:val="16"/>
          <w:lang w:val="es-CR"/>
        </w:rPr>
        <w:t xml:space="preserve"> </w:t>
      </w:r>
      <w:r w:rsidRPr="0046086B">
        <w:rPr>
          <w:sz w:val="16"/>
          <w:szCs w:val="16"/>
          <w:lang w:val="es-CR"/>
        </w:rPr>
        <w:tab/>
      </w:r>
      <w:r w:rsidRPr="0046086B">
        <w:rPr>
          <w:i/>
          <w:sz w:val="16"/>
          <w:szCs w:val="16"/>
          <w:lang w:val="es-CR"/>
        </w:rPr>
        <w:t>Cfr.</w:t>
      </w:r>
      <w:r w:rsidRPr="0046086B">
        <w:rPr>
          <w:sz w:val="16"/>
          <w:szCs w:val="16"/>
          <w:lang w:val="es-CR"/>
        </w:rPr>
        <w:t xml:space="preserve"> </w:t>
      </w:r>
      <w:r w:rsidRPr="0046086B">
        <w:rPr>
          <w:i/>
          <w:sz w:val="16"/>
          <w:szCs w:val="16"/>
          <w:lang w:val="es-CR"/>
        </w:rPr>
        <w:t>Caso Montero Aranguren y otros (Retén de Catia) Vs. Venezuela, supra</w:t>
      </w:r>
      <w:r w:rsidRPr="0046086B">
        <w:rPr>
          <w:sz w:val="16"/>
          <w:szCs w:val="16"/>
          <w:lang w:val="es-CR"/>
        </w:rPr>
        <w:t xml:space="preserve">, párr. 78, y </w:t>
      </w:r>
      <w:r w:rsidRPr="0046086B">
        <w:rPr>
          <w:i/>
          <w:iCs/>
          <w:sz w:val="16"/>
          <w:szCs w:val="16"/>
          <w:lang w:val="es-CR"/>
        </w:rPr>
        <w:t>Caso Alvarado Espinoza y otros Vs. México. Fondo, Reparaciones y Costas.</w:t>
      </w:r>
      <w:r w:rsidRPr="0046086B">
        <w:rPr>
          <w:sz w:val="16"/>
          <w:szCs w:val="16"/>
          <w:lang w:val="es-CR"/>
        </w:rPr>
        <w:t xml:space="preserve"> Sentencia de 28 de noviembre de 2018. Serie C No. 370, párr. 179. En este mismo sentido, el Relator Especial sobre las Ejecuciones Extrajudiciales, Sumarias o Arbitrarias de la ONU, tras su vista a México manifestó: “[…] [E]s bien sabido que, en cualquier país, a los soldados que realizan labores policiales les cuesta mucho renunciar al paradigma militar […] el principal objetivo de un cuerpo militar es someter al enemigo valiéndose de la superioridad de su fuerza".</w:t>
      </w:r>
      <w:r w:rsidRPr="0046086B">
        <w:rPr>
          <w:sz w:val="16"/>
          <w:szCs w:val="16"/>
        </w:rPr>
        <w:t xml:space="preserve"> </w:t>
      </w:r>
      <w:r w:rsidRPr="0046086B">
        <w:rPr>
          <w:i/>
          <w:sz w:val="16"/>
          <w:szCs w:val="16"/>
          <w:lang w:val="es-CR"/>
        </w:rPr>
        <w:t>Cfr.</w:t>
      </w:r>
      <w:r w:rsidRPr="0046086B">
        <w:rPr>
          <w:sz w:val="16"/>
          <w:szCs w:val="16"/>
          <w:lang w:val="es-CR"/>
        </w:rPr>
        <w:t xml:space="preserve"> </w:t>
      </w:r>
      <w:r w:rsidRPr="0046086B">
        <w:rPr>
          <w:sz w:val="16"/>
          <w:szCs w:val="16"/>
        </w:rPr>
        <w:t xml:space="preserve">ONU. Consejo de Derechos Humanos, </w:t>
      </w:r>
      <w:r w:rsidRPr="0046086B">
        <w:rPr>
          <w:i/>
          <w:sz w:val="16"/>
          <w:szCs w:val="16"/>
        </w:rPr>
        <w:t xml:space="preserve">Informe del Relator especial sobre las ejecuciones extrajudiciales, sumarias o arbitrarias, Christof Heyns, </w:t>
      </w:r>
      <w:r w:rsidRPr="0046086B">
        <w:rPr>
          <w:sz w:val="16"/>
          <w:szCs w:val="16"/>
        </w:rPr>
        <w:t>A/HCR/26/36/Add.1, 28 de abril de 2014, párr. 21.</w:t>
      </w:r>
      <w:r w:rsidRPr="0046086B">
        <w:rPr>
          <w:rFonts w:eastAsiaTheme="minorHAnsi"/>
          <w:b/>
          <w:bCs/>
          <w:i/>
          <w:sz w:val="16"/>
          <w:szCs w:val="16"/>
          <w:lang w:val="es-CR"/>
        </w:rPr>
        <w:t xml:space="preserve"> </w:t>
      </w:r>
    </w:p>
  </w:footnote>
  <w:footnote w:id="91">
    <w:p w14:paraId="5D034CF9" w14:textId="287E13A5" w:rsidR="005579C3" w:rsidRPr="0046086B" w:rsidRDefault="005579C3" w:rsidP="0046086B">
      <w:pPr>
        <w:pStyle w:val="Textonotapie"/>
        <w:tabs>
          <w:tab w:val="left" w:pos="567"/>
          <w:tab w:val="left" w:pos="709"/>
        </w:tabs>
        <w:rPr>
          <w:rFonts w:cs="Calibri"/>
          <w:color w:val="000000" w:themeColor="text1"/>
          <w:sz w:val="16"/>
          <w:szCs w:val="16"/>
          <w:lang w:eastAsia="en-US"/>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xml:space="preserve">. Declaración de J.F.G.C ante la Policía Nacional, de 19 de abril de 1996 (expediente de prueba, folio 448); </w:t>
      </w:r>
      <w:r w:rsidRPr="0046086B">
        <w:rPr>
          <w:rFonts w:cs="Calibri"/>
          <w:color w:val="000000" w:themeColor="text1"/>
          <w:sz w:val="16"/>
          <w:szCs w:val="16"/>
          <w:lang w:eastAsia="en-US"/>
        </w:rPr>
        <w:t>Declaración de F.S.O.N ante la Policía Nacional, de 21 de abril de 1996 (expediente de prueba, folio 483); Declaración indagatoria de F.S.O.N ante el Juez Primero de Distrito del Crimen de Chinandega, de 29 de abril de 1996 (expediente de prueba, folio 1115); Declaración de R.J.S.O. ante la Policía Nacional, de 21 de abril de 1996 (expediente de prueba, folios 2070 y 2071;</w:t>
      </w:r>
      <w:r w:rsidRPr="0046086B">
        <w:rPr>
          <w:color w:val="000000" w:themeColor="text1"/>
          <w:sz w:val="16"/>
          <w:szCs w:val="16"/>
        </w:rPr>
        <w:t xml:space="preserve"> Declaración indagatoria de J.M.R.V. ante el Juez Primero de Distrito del Crimen de Chinandega, de 29 de abril de 1996 (expediente de prueba, folio 448)</w:t>
      </w:r>
      <w:r w:rsidRPr="0046086B">
        <w:rPr>
          <w:rFonts w:cs="Calibri"/>
          <w:color w:val="000000" w:themeColor="text1"/>
          <w:sz w:val="16"/>
          <w:szCs w:val="16"/>
          <w:lang w:eastAsia="en-US"/>
        </w:rPr>
        <w:t xml:space="preserve">; Declaración de J.M.R.V. ante la Policía Nacional, de 19 de abril de 1996 (expediente de prueba, folio 489, y Declaración de F.A.C.P. ante la Policía Nacional, de 19 de abril de 1996 (expediente de prueba, folio 2412). Ver también, </w:t>
      </w:r>
      <w:r w:rsidRPr="0046086B">
        <w:rPr>
          <w:color w:val="000000" w:themeColor="text1"/>
          <w:sz w:val="16"/>
          <w:szCs w:val="16"/>
        </w:rPr>
        <w:t>Auto de segura y formal prisión, dictado por el Juzgado Primero de Distrito del Crimen, de 6 de mayo de 1996 (expediente de prueba, folio 3289).</w:t>
      </w:r>
    </w:p>
  </w:footnote>
  <w:footnote w:id="92">
    <w:p w14:paraId="631122B5" w14:textId="6763F076" w:rsidR="005579C3" w:rsidRPr="0046086B" w:rsidRDefault="005579C3" w:rsidP="0046086B">
      <w:pPr>
        <w:pStyle w:val="Textonotapie"/>
        <w:tabs>
          <w:tab w:val="left" w:pos="567"/>
          <w:tab w:val="left" w:pos="709"/>
        </w:tabs>
        <w:rPr>
          <w:sz w:val="16"/>
          <w:szCs w:val="16"/>
          <w:lang w:val="es-ES"/>
        </w:rPr>
      </w:pPr>
      <w:r w:rsidRPr="0046086B">
        <w:rPr>
          <w:rStyle w:val="Refdenotaalpie"/>
          <w:sz w:val="16"/>
          <w:szCs w:val="16"/>
        </w:rPr>
        <w:footnoteRef/>
      </w:r>
      <w:r w:rsidRPr="0046086B">
        <w:rPr>
          <w:sz w:val="16"/>
          <w:szCs w:val="16"/>
        </w:rPr>
        <w:t xml:space="preserve"> </w:t>
      </w:r>
      <w:r w:rsidRPr="0046086B">
        <w:rPr>
          <w:sz w:val="16"/>
          <w:szCs w:val="16"/>
        </w:rPr>
        <w:tab/>
      </w:r>
      <w:r w:rsidRPr="0046086B">
        <w:rPr>
          <w:i/>
          <w:color w:val="000000" w:themeColor="text1"/>
          <w:sz w:val="16"/>
          <w:szCs w:val="16"/>
        </w:rPr>
        <w:t>Cfr</w:t>
      </w:r>
      <w:r w:rsidRPr="0046086B">
        <w:rPr>
          <w:color w:val="000000" w:themeColor="text1"/>
          <w:sz w:val="16"/>
          <w:szCs w:val="16"/>
        </w:rPr>
        <w:t xml:space="preserve">. Acta de inspección ocular en vehículo, de 18 de abril de 1996 (expediente de prueba, folio 2051). </w:t>
      </w:r>
    </w:p>
  </w:footnote>
  <w:footnote w:id="93">
    <w:p w14:paraId="786F63E7" w14:textId="18D3760B"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rFonts w:eastAsia="MS Mincho"/>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Ídem</w:t>
      </w:r>
      <w:r w:rsidRPr="0046086B">
        <w:rPr>
          <w:color w:val="000000" w:themeColor="text1"/>
          <w:sz w:val="16"/>
          <w:szCs w:val="16"/>
        </w:rPr>
        <w:t>.</w:t>
      </w:r>
    </w:p>
  </w:footnote>
  <w:footnote w:id="94">
    <w:p w14:paraId="265401BB" w14:textId="69762BC2"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xml:space="preserve">. Auto de segura y formal prisión, dictado por el Juzgado Primero de Distrito del Crimen, de 6 de mayo de 1996 (expediente de prueba, folio 3290). Ver también, declaración de N.D.S., quien indicó lo siguiente “. “no recuerdo cuantos disparos fueron, y yo digo que cómo iban a disparar a las llantas, si lesionaron en la cabeza al chico [Pedro Bacilio Roche Azaña], había disparos en el parabrisas, y ellos dispararon de frente”. </w:t>
      </w:r>
      <w:r w:rsidRPr="0046086B">
        <w:rPr>
          <w:i/>
          <w:color w:val="000000" w:themeColor="text1"/>
          <w:sz w:val="16"/>
          <w:szCs w:val="16"/>
        </w:rPr>
        <w:t>Cfr</w:t>
      </w:r>
      <w:r w:rsidRPr="0046086B">
        <w:rPr>
          <w:color w:val="000000" w:themeColor="text1"/>
          <w:sz w:val="16"/>
          <w:szCs w:val="16"/>
        </w:rPr>
        <w:t xml:space="preserve">. Declaración </w:t>
      </w:r>
      <w:r w:rsidRPr="0046086B">
        <w:rPr>
          <w:i/>
          <w:color w:val="000000" w:themeColor="text1"/>
          <w:sz w:val="16"/>
          <w:szCs w:val="16"/>
        </w:rPr>
        <w:t>ad-inquerendum</w:t>
      </w:r>
      <w:r w:rsidRPr="0046086B">
        <w:rPr>
          <w:color w:val="000000" w:themeColor="text1"/>
          <w:sz w:val="16"/>
          <w:szCs w:val="16"/>
        </w:rPr>
        <w:t xml:space="preserve"> realizada por el Juez Primero de Distrito del Crimen del Departamento de Chinandega a N.D.S., de 3 de mayo de 1996 (expediente de prueba, folio 2492).</w:t>
      </w:r>
    </w:p>
  </w:footnote>
  <w:footnote w:id="95">
    <w:p w14:paraId="241E9D78" w14:textId="77777777"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Auto de segura y formal prisión, dictado por el Juzgado Primero de Distrito del Crimen, de 6 de mayo de 1996 (expediente de prueba, folio 3289).</w:t>
      </w:r>
    </w:p>
  </w:footnote>
  <w:footnote w:id="96">
    <w:p w14:paraId="4C97BCD6" w14:textId="65935BB8"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xml:space="preserve">. Declaración indagatoria de J.M.R.V. ante el Juez Primero de Distrito del Crimen de Chinandega, de 29 de abril de 1996 (expediente de prueba, folio 448); </w:t>
      </w:r>
      <w:r w:rsidRPr="0046086B">
        <w:rPr>
          <w:rFonts w:cs="Calibri"/>
          <w:color w:val="000000" w:themeColor="text1"/>
          <w:sz w:val="16"/>
          <w:szCs w:val="16"/>
          <w:lang w:eastAsia="en-US"/>
        </w:rPr>
        <w:t>Declaración indagatoria de R.J.S.O. ante el Juez Primero de Distrito del Crimen de Chinandega, de 29 de abril de 1996 (expediente de prueba, folio 2068); Declaración de S.A.V.B. ante la Policía Nacional, de 21 de abril de 1996 (expediente de prueba, folio 479), y</w:t>
      </w:r>
      <w:r w:rsidRPr="0046086B">
        <w:rPr>
          <w:color w:val="000000" w:themeColor="text1"/>
          <w:sz w:val="16"/>
          <w:szCs w:val="16"/>
        </w:rPr>
        <w:t xml:space="preserve"> Declaración indagatoria de S.A.V.B. ante el Juez Primero de Distrito del Crimen de Chinandega, de 29 de abril de 1996 (expediente de prueba, folio 1111)</w:t>
      </w:r>
      <w:r w:rsidRPr="0046086B">
        <w:rPr>
          <w:rFonts w:cs="Calibri"/>
          <w:color w:val="000000" w:themeColor="text1"/>
          <w:sz w:val="16"/>
          <w:szCs w:val="16"/>
          <w:lang w:eastAsia="en-US"/>
        </w:rPr>
        <w:t>. Véase también, Dictamen médico sobre Patricio Fernando Roche Azaña, Médico Forense de Chinandega, de 26 de abril de 1996 (expediente de prueba, folio 1124);</w:t>
      </w:r>
      <w:r w:rsidRPr="0046086B">
        <w:rPr>
          <w:color w:val="000000" w:themeColor="text1"/>
          <w:sz w:val="16"/>
          <w:szCs w:val="16"/>
        </w:rPr>
        <w:t xml:space="preserve"> Auto de segura y formal prisión, dictado por el Juzgado Primero de Distrito del Crimen, de 6 de mayo de 1996 (expediente de prueba, folio 3283).</w:t>
      </w:r>
      <w:r w:rsidRPr="0046086B">
        <w:rPr>
          <w:rFonts w:cs="Calibri"/>
          <w:color w:val="000000" w:themeColor="text1"/>
          <w:sz w:val="16"/>
          <w:szCs w:val="16"/>
          <w:lang w:eastAsia="en-US"/>
        </w:rPr>
        <w:t xml:space="preserve"> </w:t>
      </w:r>
    </w:p>
  </w:footnote>
  <w:footnote w:id="97">
    <w:p w14:paraId="04532337" w14:textId="7A21ABCF"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iCs/>
          <w:color w:val="000000" w:themeColor="text1"/>
          <w:sz w:val="16"/>
          <w:szCs w:val="16"/>
        </w:rPr>
        <w:t>Cfr</w:t>
      </w:r>
      <w:r w:rsidRPr="0046086B">
        <w:rPr>
          <w:color w:val="000000" w:themeColor="text1"/>
          <w:sz w:val="16"/>
          <w:szCs w:val="16"/>
        </w:rPr>
        <w:t xml:space="preserve">. </w:t>
      </w:r>
      <w:r w:rsidRPr="0046086B">
        <w:rPr>
          <w:rFonts w:cs="Calibri"/>
          <w:color w:val="000000" w:themeColor="text1"/>
          <w:sz w:val="16"/>
          <w:szCs w:val="16"/>
          <w:lang w:eastAsia="en-US"/>
        </w:rPr>
        <w:t xml:space="preserve">Dictamen médico sobre Patricio Fernando Roche Azaña, Médico Forense de Chinandega, de 26 de abril de 1996 (expediente de prueba, folio 1124), </w:t>
      </w:r>
      <w:r w:rsidRPr="0046086B">
        <w:rPr>
          <w:color w:val="000000" w:themeColor="text1"/>
          <w:sz w:val="16"/>
          <w:szCs w:val="16"/>
        </w:rPr>
        <w:t xml:space="preserve">y Segundo dictamen médico sobre Pedro Bacilio Roche Azaña, Médico Forense de Chinandega, 18 de abril de 1996 (expediente de prueba, folio 398). </w:t>
      </w:r>
    </w:p>
  </w:footnote>
  <w:footnote w:id="98">
    <w:p w14:paraId="261CE75F" w14:textId="1FD41CD9" w:rsidR="005579C3" w:rsidRPr="0046086B" w:rsidRDefault="005579C3" w:rsidP="0046086B">
      <w:pPr>
        <w:pStyle w:val="Textonotapie"/>
        <w:tabs>
          <w:tab w:val="left" w:pos="567"/>
          <w:tab w:val="left" w:pos="709"/>
        </w:tabs>
        <w:rPr>
          <w:sz w:val="16"/>
          <w:szCs w:val="16"/>
        </w:rPr>
      </w:pPr>
      <w:r w:rsidRPr="0046086B">
        <w:rPr>
          <w:rStyle w:val="Refdenotaalpie"/>
          <w:sz w:val="16"/>
          <w:szCs w:val="16"/>
        </w:rPr>
        <w:footnoteRef/>
      </w:r>
      <w:r w:rsidRPr="0046086B">
        <w:rPr>
          <w:sz w:val="16"/>
          <w:szCs w:val="16"/>
        </w:rPr>
        <w:t xml:space="preserve"> </w:t>
      </w:r>
      <w:r w:rsidRPr="0046086B">
        <w:rPr>
          <w:sz w:val="16"/>
          <w:szCs w:val="16"/>
        </w:rPr>
        <w:tab/>
      </w:r>
      <w:r w:rsidRPr="0046086B">
        <w:rPr>
          <w:i/>
          <w:iCs/>
          <w:sz w:val="16"/>
          <w:szCs w:val="16"/>
        </w:rPr>
        <w:t xml:space="preserve">Cfr. Caso Nadege Dorzema y otros Vs. República Dominicana, supra, </w:t>
      </w:r>
      <w:r w:rsidRPr="0046086B">
        <w:rPr>
          <w:sz w:val="16"/>
          <w:szCs w:val="16"/>
        </w:rPr>
        <w:t>párr. 81.</w:t>
      </w:r>
    </w:p>
  </w:footnote>
  <w:footnote w:id="99">
    <w:p w14:paraId="01D15DAA" w14:textId="2F6C7281" w:rsidR="005579C3" w:rsidRPr="0046086B" w:rsidRDefault="005579C3" w:rsidP="0046086B">
      <w:pPr>
        <w:pStyle w:val="Textonotapie"/>
        <w:tabs>
          <w:tab w:val="left" w:pos="567"/>
          <w:tab w:val="left" w:pos="709"/>
        </w:tabs>
        <w:rPr>
          <w:color w:val="000000" w:themeColor="text1"/>
          <w:sz w:val="16"/>
          <w:szCs w:val="16"/>
          <w:lang w:val="es-MX"/>
        </w:rPr>
      </w:pPr>
      <w:r w:rsidRPr="0046086B">
        <w:rPr>
          <w:rStyle w:val="Refdenotaalpie"/>
          <w:color w:val="000000" w:themeColor="text1"/>
          <w:sz w:val="16"/>
          <w:szCs w:val="16"/>
        </w:rPr>
        <w:footnoteRef/>
      </w:r>
      <w:r w:rsidRPr="0046086B">
        <w:rPr>
          <w:color w:val="000000" w:themeColor="text1"/>
          <w:sz w:val="16"/>
          <w:szCs w:val="16"/>
          <w:lang w:val="es-MX"/>
        </w:rPr>
        <w:t xml:space="preserve"> </w:t>
      </w:r>
      <w:r w:rsidRPr="0046086B">
        <w:rPr>
          <w:color w:val="000000" w:themeColor="text1"/>
          <w:sz w:val="16"/>
          <w:szCs w:val="16"/>
          <w:lang w:val="es-MX"/>
        </w:rPr>
        <w:tab/>
      </w:r>
      <w:r w:rsidRPr="0046086B">
        <w:rPr>
          <w:i/>
          <w:color w:val="000000" w:themeColor="text1"/>
          <w:sz w:val="16"/>
          <w:szCs w:val="16"/>
          <w:lang w:val="es-MX"/>
        </w:rPr>
        <w:t>Cfr.</w:t>
      </w:r>
      <w:r w:rsidRPr="0046086B">
        <w:rPr>
          <w:color w:val="000000" w:themeColor="text1"/>
          <w:sz w:val="16"/>
          <w:szCs w:val="16"/>
          <w:lang w:val="es-MX"/>
        </w:rPr>
        <w:t xml:space="preserve"> </w:t>
      </w:r>
      <w:r w:rsidRPr="0046086B">
        <w:rPr>
          <w:i/>
          <w:color w:val="000000" w:themeColor="text1"/>
          <w:sz w:val="16"/>
          <w:szCs w:val="16"/>
          <w:lang w:val="es-MX"/>
        </w:rPr>
        <w:t>Caso del Caracazo Vs. Venezuela.</w:t>
      </w:r>
      <w:r w:rsidRPr="0046086B">
        <w:rPr>
          <w:color w:val="000000" w:themeColor="text1"/>
          <w:sz w:val="16"/>
          <w:szCs w:val="16"/>
          <w:lang w:val="es-MX"/>
        </w:rPr>
        <w:t xml:space="preserve"> </w:t>
      </w:r>
      <w:r w:rsidRPr="0046086B">
        <w:rPr>
          <w:i/>
          <w:color w:val="000000" w:themeColor="text1"/>
          <w:sz w:val="16"/>
          <w:szCs w:val="16"/>
          <w:lang w:val="es-MX"/>
        </w:rPr>
        <w:t>Reparaciones</w:t>
      </w:r>
      <w:r w:rsidRPr="0046086B">
        <w:rPr>
          <w:color w:val="000000" w:themeColor="text1"/>
          <w:sz w:val="16"/>
          <w:szCs w:val="16"/>
          <w:lang w:val="es-MX"/>
        </w:rPr>
        <w:t xml:space="preserve"> </w:t>
      </w:r>
      <w:r w:rsidRPr="0046086B">
        <w:rPr>
          <w:i/>
          <w:color w:val="000000" w:themeColor="text1"/>
          <w:sz w:val="16"/>
          <w:szCs w:val="16"/>
          <w:lang w:val="es-MX"/>
        </w:rPr>
        <w:t>y Costas</w:t>
      </w:r>
      <w:r w:rsidRPr="0046086B">
        <w:rPr>
          <w:color w:val="000000" w:themeColor="text1"/>
          <w:sz w:val="16"/>
          <w:szCs w:val="16"/>
          <w:lang w:val="es-MX"/>
        </w:rPr>
        <w:t xml:space="preserve">. Sentencia de 29 de agosto de 2002. Serie C No. 95, párr. 143.1.a, y </w:t>
      </w:r>
      <w:r w:rsidRPr="0046086B">
        <w:rPr>
          <w:i/>
          <w:iCs/>
          <w:color w:val="000000" w:themeColor="text1"/>
          <w:sz w:val="16"/>
          <w:szCs w:val="16"/>
          <w:lang w:val="es-MX"/>
        </w:rPr>
        <w:t>Caso Montero Aranguren y Otros (Reten de Catia) Vs. Venezuela</w:t>
      </w:r>
      <w:r w:rsidRPr="0046086B">
        <w:rPr>
          <w:i/>
          <w:color w:val="000000" w:themeColor="text1"/>
          <w:sz w:val="16"/>
          <w:szCs w:val="16"/>
          <w:lang w:val="es-MX"/>
        </w:rPr>
        <w:t xml:space="preserve">, supra, </w:t>
      </w:r>
      <w:r w:rsidRPr="0046086B">
        <w:rPr>
          <w:color w:val="000000" w:themeColor="text1"/>
          <w:sz w:val="16"/>
          <w:szCs w:val="16"/>
          <w:lang w:val="es-MX"/>
        </w:rPr>
        <w:t>párr. 78. Ver también,</w:t>
      </w:r>
      <w:r w:rsidRPr="0046086B">
        <w:rPr>
          <w:color w:val="000000" w:themeColor="text1"/>
          <w:sz w:val="16"/>
          <w:szCs w:val="16"/>
        </w:rPr>
        <w:t xml:space="preserve"> TEDH,</w:t>
      </w:r>
      <w:r w:rsidRPr="0046086B">
        <w:rPr>
          <w:i/>
          <w:color w:val="000000" w:themeColor="text1"/>
          <w:sz w:val="16"/>
          <w:szCs w:val="16"/>
        </w:rPr>
        <w:t xml:space="preserve"> </w:t>
      </w:r>
      <w:r w:rsidRPr="0046086B">
        <w:rPr>
          <w:bCs/>
          <w:i/>
          <w:color w:val="000000" w:themeColor="text1"/>
          <w:sz w:val="16"/>
          <w:szCs w:val="16"/>
        </w:rPr>
        <w:t xml:space="preserve">Caso McCann y Otros Vs. </w:t>
      </w:r>
      <w:r w:rsidRPr="0046086B">
        <w:rPr>
          <w:bCs/>
          <w:i/>
          <w:color w:val="000000" w:themeColor="text1"/>
          <w:sz w:val="16"/>
          <w:szCs w:val="16"/>
          <w:lang w:val="es-ES"/>
        </w:rPr>
        <w:t xml:space="preserve">Reino Unido </w:t>
      </w:r>
      <w:r w:rsidRPr="0046086B">
        <w:rPr>
          <w:bCs/>
          <w:iCs/>
          <w:color w:val="000000" w:themeColor="text1"/>
          <w:sz w:val="16"/>
          <w:szCs w:val="16"/>
          <w:lang w:val="es-ES"/>
        </w:rPr>
        <w:t xml:space="preserve">(GS), </w:t>
      </w:r>
      <w:r w:rsidRPr="0046086B">
        <w:rPr>
          <w:bCs/>
          <w:color w:val="000000" w:themeColor="text1"/>
          <w:sz w:val="16"/>
          <w:szCs w:val="16"/>
        </w:rPr>
        <w:t>No. 18984/91,</w:t>
      </w:r>
      <w:r w:rsidRPr="0046086B">
        <w:rPr>
          <w:color w:val="000000" w:themeColor="text1"/>
          <w:sz w:val="16"/>
          <w:szCs w:val="16"/>
        </w:rPr>
        <w:t xml:space="preserve"> </w:t>
      </w:r>
      <w:r w:rsidRPr="0046086B">
        <w:rPr>
          <w:bCs/>
          <w:color w:val="000000" w:themeColor="text1"/>
          <w:sz w:val="16"/>
          <w:szCs w:val="16"/>
        </w:rPr>
        <w:t xml:space="preserve">Sentencia. </w:t>
      </w:r>
      <w:r w:rsidRPr="0046086B">
        <w:rPr>
          <w:color w:val="000000" w:themeColor="text1"/>
          <w:sz w:val="16"/>
          <w:szCs w:val="16"/>
        </w:rPr>
        <w:t xml:space="preserve">27 de septiembre de 1995, párr. </w:t>
      </w:r>
      <w:r w:rsidRPr="0046086B">
        <w:rPr>
          <w:bCs/>
          <w:color w:val="000000" w:themeColor="text1"/>
          <w:sz w:val="16"/>
          <w:szCs w:val="16"/>
        </w:rPr>
        <w:t xml:space="preserve">151, y </w:t>
      </w:r>
      <w:r w:rsidRPr="0046086B">
        <w:rPr>
          <w:bCs/>
          <w:i/>
          <w:color w:val="000000" w:themeColor="text1"/>
          <w:sz w:val="16"/>
          <w:szCs w:val="16"/>
        </w:rPr>
        <w:t>Caso Kakoulli Vs. Turquía</w:t>
      </w:r>
      <w:r w:rsidRPr="0046086B">
        <w:rPr>
          <w:bCs/>
          <w:color w:val="000000" w:themeColor="text1"/>
          <w:sz w:val="16"/>
          <w:szCs w:val="16"/>
        </w:rPr>
        <w:t xml:space="preserve">, </w:t>
      </w:r>
      <w:r w:rsidRPr="0046086B">
        <w:rPr>
          <w:bCs/>
          <w:i/>
          <w:iCs/>
          <w:color w:val="000000" w:themeColor="text1"/>
          <w:sz w:val="16"/>
          <w:szCs w:val="16"/>
        </w:rPr>
        <w:t>supra</w:t>
      </w:r>
      <w:r w:rsidRPr="0046086B">
        <w:rPr>
          <w:color w:val="000000" w:themeColor="text1"/>
          <w:sz w:val="16"/>
          <w:szCs w:val="16"/>
        </w:rPr>
        <w:t xml:space="preserve">, párrs. </w:t>
      </w:r>
      <w:r w:rsidRPr="0046086B">
        <w:rPr>
          <w:color w:val="000000" w:themeColor="text1"/>
          <w:sz w:val="16"/>
          <w:szCs w:val="16"/>
          <w:lang w:val="es-MX"/>
        </w:rPr>
        <w:t>109 y 110.</w:t>
      </w:r>
    </w:p>
  </w:footnote>
  <w:footnote w:id="100">
    <w:p w14:paraId="28A29BC0" w14:textId="1295C31B" w:rsidR="005579C3" w:rsidRPr="0046086B" w:rsidRDefault="005579C3" w:rsidP="0046086B">
      <w:pPr>
        <w:pStyle w:val="Textonotapie"/>
        <w:tabs>
          <w:tab w:val="left" w:pos="567"/>
          <w:tab w:val="left" w:pos="709"/>
        </w:tabs>
        <w:rPr>
          <w:i/>
          <w:iCs/>
          <w:sz w:val="16"/>
          <w:szCs w:val="16"/>
          <w:lang w:val="es-ES"/>
        </w:rPr>
      </w:pPr>
      <w:r w:rsidRPr="0046086B">
        <w:rPr>
          <w:rStyle w:val="Refdenotaalpie"/>
          <w:sz w:val="16"/>
          <w:szCs w:val="16"/>
        </w:rPr>
        <w:footnoteRef/>
      </w:r>
      <w:r w:rsidRPr="0046086B">
        <w:rPr>
          <w:sz w:val="16"/>
          <w:szCs w:val="16"/>
        </w:rPr>
        <w:t xml:space="preserve"> </w:t>
      </w:r>
      <w:r w:rsidRPr="0046086B">
        <w:rPr>
          <w:sz w:val="16"/>
          <w:szCs w:val="16"/>
        </w:rPr>
        <w:tab/>
      </w:r>
      <w:r w:rsidRPr="0046086B">
        <w:rPr>
          <w:i/>
          <w:iCs/>
          <w:sz w:val="16"/>
          <w:szCs w:val="16"/>
          <w:lang w:val="es-ES" w:eastAsia="es-ES_tradnl"/>
        </w:rPr>
        <w:t xml:space="preserve">Cfr. </w:t>
      </w:r>
      <w:r w:rsidRPr="0046086B">
        <w:rPr>
          <w:rFonts w:cs="Verdana"/>
          <w:i/>
          <w:iCs/>
          <w:color w:val="000000" w:themeColor="text1"/>
          <w:sz w:val="16"/>
          <w:szCs w:val="16"/>
          <w:lang w:val="es-ES"/>
        </w:rPr>
        <w:t>Caso Montero Aranguren y otros (Retén de Catia) Vs. Venezuela</w:t>
      </w:r>
      <w:r w:rsidRPr="0046086B">
        <w:rPr>
          <w:i/>
          <w:color w:val="000000" w:themeColor="text1"/>
          <w:sz w:val="16"/>
          <w:szCs w:val="16"/>
        </w:rPr>
        <w:t>, supra</w:t>
      </w:r>
      <w:r w:rsidRPr="0046086B">
        <w:rPr>
          <w:i/>
          <w:iCs/>
          <w:sz w:val="16"/>
          <w:szCs w:val="16"/>
          <w:lang w:val="es-ES" w:eastAsia="es-ES_tradnl"/>
        </w:rPr>
        <w:t>,</w:t>
      </w:r>
      <w:r w:rsidRPr="0046086B">
        <w:rPr>
          <w:sz w:val="16"/>
          <w:szCs w:val="16"/>
          <w:lang w:val="es-ES"/>
        </w:rPr>
        <w:t xml:space="preserve"> párr. 80, y </w:t>
      </w:r>
      <w:r w:rsidRPr="0046086B">
        <w:rPr>
          <w:i/>
          <w:iCs/>
          <w:sz w:val="16"/>
          <w:szCs w:val="16"/>
          <w:lang w:val="es-ES"/>
        </w:rPr>
        <w:t>Caso Díaz Loreto y otros Vs. Venezuela, supra</w:t>
      </w:r>
      <w:r w:rsidRPr="0046086B">
        <w:rPr>
          <w:sz w:val="16"/>
          <w:szCs w:val="16"/>
          <w:lang w:val="es-ES"/>
        </w:rPr>
        <w:t>, párr. 92.</w:t>
      </w:r>
    </w:p>
  </w:footnote>
  <w:footnote w:id="101">
    <w:p w14:paraId="7F86D221" w14:textId="602672BB" w:rsidR="005579C3" w:rsidRPr="0046086B" w:rsidRDefault="005579C3" w:rsidP="0046086B">
      <w:pPr>
        <w:pStyle w:val="Textonotapie"/>
        <w:tabs>
          <w:tab w:val="left" w:pos="567"/>
          <w:tab w:val="left" w:pos="709"/>
        </w:tabs>
        <w:rPr>
          <w:rFonts w:cs="Calibri"/>
          <w:color w:val="000000" w:themeColor="text1"/>
          <w:sz w:val="16"/>
          <w:szCs w:val="16"/>
          <w:lang w:eastAsia="en-US"/>
        </w:rPr>
      </w:pPr>
      <w:r w:rsidRPr="0046086B">
        <w:rPr>
          <w:rStyle w:val="Refdenotaalpie"/>
          <w:sz w:val="16"/>
          <w:szCs w:val="16"/>
        </w:rPr>
        <w:footnoteRef/>
      </w:r>
      <w:r w:rsidRPr="0046086B">
        <w:rPr>
          <w:sz w:val="16"/>
          <w:szCs w:val="16"/>
        </w:rPr>
        <w:t xml:space="preserve"> </w:t>
      </w:r>
      <w:r w:rsidRPr="0046086B">
        <w:rPr>
          <w:sz w:val="16"/>
          <w:szCs w:val="16"/>
        </w:rPr>
        <w:tab/>
      </w:r>
      <w:r w:rsidRPr="0046086B">
        <w:rPr>
          <w:rFonts w:cs="Calibri"/>
          <w:color w:val="000000" w:themeColor="text1"/>
          <w:sz w:val="16"/>
          <w:szCs w:val="16"/>
          <w:lang w:eastAsia="en-US"/>
        </w:rPr>
        <w:t xml:space="preserve">El agente R.J.S.O. declaró que cuando la furgoneta se iba acercando “yo miro que el vehículo no disminuye la velocidad, cuando determino que el vehículo no se va a parar, a mi me obliga a salirme de la carretera, yo portaba un AK, entonces le hice tres detonaciones al aire”. </w:t>
      </w:r>
      <w:r w:rsidRPr="0046086B">
        <w:rPr>
          <w:rFonts w:cs="Calibri"/>
          <w:i/>
          <w:iCs/>
          <w:color w:val="000000" w:themeColor="text1"/>
          <w:sz w:val="16"/>
          <w:szCs w:val="16"/>
          <w:lang w:eastAsia="en-US"/>
        </w:rPr>
        <w:t>Cfr</w:t>
      </w:r>
      <w:r w:rsidRPr="0046086B">
        <w:rPr>
          <w:rFonts w:cs="Calibri"/>
          <w:color w:val="000000" w:themeColor="text1"/>
          <w:sz w:val="16"/>
          <w:szCs w:val="16"/>
          <w:lang w:eastAsia="en-US"/>
        </w:rPr>
        <w:t xml:space="preserve">. Declaración de R.J.S.O. ante la Policía Nacional, de 21 de abril de 1996 (expediente de prueba, folio 2068). Por su parte, el agente S.A.B. declaró que, al ver que la furgoneta iba a alta velocidad, realizó “como a los cien metros un disparo preventivo al aire” </w:t>
      </w:r>
      <w:r w:rsidRPr="0046086B">
        <w:rPr>
          <w:rFonts w:cs="Calibri"/>
          <w:i/>
          <w:iCs/>
          <w:color w:val="000000" w:themeColor="text1"/>
          <w:sz w:val="16"/>
          <w:szCs w:val="16"/>
          <w:lang w:eastAsia="en-US"/>
        </w:rPr>
        <w:t>Cfr</w:t>
      </w:r>
      <w:r w:rsidRPr="0046086B">
        <w:rPr>
          <w:rFonts w:cs="Calibri"/>
          <w:color w:val="000000" w:themeColor="text1"/>
          <w:sz w:val="16"/>
          <w:szCs w:val="16"/>
          <w:lang w:eastAsia="en-US"/>
        </w:rPr>
        <w:t xml:space="preserve">. </w:t>
      </w:r>
      <w:r w:rsidRPr="0046086B">
        <w:rPr>
          <w:color w:val="000000" w:themeColor="text1"/>
          <w:sz w:val="16"/>
          <w:szCs w:val="16"/>
        </w:rPr>
        <w:t xml:space="preserve">Declaración indagatoria de S.A.V.B. ante el Juez Primero de Distrito del Crimen de Chinandega, de 29 de abril de 1996 (expediente de prueba, folio 2420). </w:t>
      </w:r>
      <w:r w:rsidRPr="0046086B">
        <w:rPr>
          <w:rFonts w:cs="Calibri"/>
          <w:color w:val="000000" w:themeColor="text1"/>
          <w:sz w:val="16"/>
          <w:szCs w:val="16"/>
          <w:lang w:eastAsia="en-US"/>
        </w:rPr>
        <w:t xml:space="preserve">Ver también, </w:t>
      </w:r>
      <w:r w:rsidRPr="0046086B">
        <w:rPr>
          <w:color w:val="000000" w:themeColor="text1"/>
          <w:sz w:val="16"/>
          <w:szCs w:val="16"/>
        </w:rPr>
        <w:t xml:space="preserve">Declaración de J.M.R.V. quien en ningún momento hace referencia a la existencia de algún tipo de miedo por sentir peligro por si vida. </w:t>
      </w:r>
      <w:r w:rsidRPr="0046086B">
        <w:rPr>
          <w:i/>
          <w:iCs/>
          <w:color w:val="000000" w:themeColor="text1"/>
          <w:sz w:val="16"/>
          <w:szCs w:val="16"/>
        </w:rPr>
        <w:t>Cfr</w:t>
      </w:r>
      <w:r w:rsidRPr="0046086B">
        <w:rPr>
          <w:color w:val="000000" w:themeColor="text1"/>
          <w:sz w:val="16"/>
          <w:szCs w:val="16"/>
        </w:rPr>
        <w:t>. Declaración indagatoria de J.M.R.V. ante el Juez Primero de Distrito del Crimen de Chinandega, de 29 de abril de 1996 (expediente de prueba, folio 448).</w:t>
      </w:r>
    </w:p>
  </w:footnote>
  <w:footnote w:id="102">
    <w:p w14:paraId="0BA4917A" w14:textId="4F0BA0C0"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rFonts w:cs="Calibri"/>
          <w:i/>
          <w:color w:val="000000" w:themeColor="text1"/>
          <w:sz w:val="16"/>
          <w:szCs w:val="16"/>
          <w:lang w:val="es-CR" w:eastAsia="en-US"/>
        </w:rPr>
        <w:t>Cfr</w:t>
      </w:r>
      <w:r w:rsidRPr="0046086B">
        <w:rPr>
          <w:rFonts w:cs="Calibri"/>
          <w:color w:val="000000" w:themeColor="text1"/>
          <w:sz w:val="16"/>
          <w:szCs w:val="16"/>
          <w:lang w:val="es-CR" w:eastAsia="en-US"/>
        </w:rPr>
        <w:t xml:space="preserve">. </w:t>
      </w:r>
      <w:r w:rsidRPr="0046086B">
        <w:rPr>
          <w:rFonts w:cs="Calibri"/>
          <w:color w:val="000000" w:themeColor="text1"/>
          <w:sz w:val="16"/>
          <w:szCs w:val="16"/>
          <w:lang w:eastAsia="en-US"/>
        </w:rPr>
        <w:t xml:space="preserve">Declaración indagatoria de F.S.O.N. </w:t>
      </w:r>
      <w:r w:rsidRPr="0046086B">
        <w:rPr>
          <w:rFonts w:cs="Calibri"/>
          <w:color w:val="000000" w:themeColor="text1"/>
          <w:sz w:val="16"/>
          <w:szCs w:val="16"/>
          <w:lang w:val="es-CR" w:eastAsia="en-US"/>
        </w:rPr>
        <w:t>ante el Juez Primero de Distrito del Crimen de Chinandega, de 29 de abril de 1996 (expediente de prueba, folio 1116)</w:t>
      </w:r>
      <w:r w:rsidRPr="0046086B">
        <w:rPr>
          <w:rFonts w:cs="Calibri"/>
          <w:color w:val="000000" w:themeColor="text1"/>
          <w:sz w:val="16"/>
          <w:szCs w:val="16"/>
          <w:lang w:eastAsia="en-US"/>
        </w:rPr>
        <w:t xml:space="preserve">. Ver también, </w:t>
      </w:r>
      <w:r w:rsidRPr="0046086B">
        <w:rPr>
          <w:color w:val="000000" w:themeColor="text1"/>
          <w:sz w:val="16"/>
          <w:szCs w:val="16"/>
        </w:rPr>
        <w:t>Auto de segura y formal prisión, dictado por el Juzgado Primero de Distrito del Crimen, de 6 de mayo de 1996 (expediente de prueba, folio 3287).</w:t>
      </w:r>
    </w:p>
  </w:footnote>
  <w:footnote w:id="103">
    <w:p w14:paraId="7F162335" w14:textId="036F0969" w:rsidR="005579C3" w:rsidRPr="0046086B" w:rsidRDefault="005579C3" w:rsidP="0046086B">
      <w:pPr>
        <w:pStyle w:val="Textonotapie"/>
        <w:tabs>
          <w:tab w:val="left" w:pos="567"/>
          <w:tab w:val="left" w:pos="709"/>
        </w:tabs>
        <w:rPr>
          <w:color w:val="000000" w:themeColor="text1"/>
          <w:sz w:val="16"/>
          <w:szCs w:val="16"/>
          <w:lang w:val="es-MX"/>
        </w:rPr>
      </w:pPr>
      <w:r w:rsidRPr="0046086B">
        <w:rPr>
          <w:rStyle w:val="Refdenotaalpie"/>
          <w:color w:val="000000" w:themeColor="text1"/>
          <w:sz w:val="16"/>
          <w:szCs w:val="16"/>
        </w:rPr>
        <w:footnoteRef/>
      </w:r>
      <w:r w:rsidRPr="0046086B">
        <w:rPr>
          <w:color w:val="000000" w:themeColor="text1"/>
          <w:sz w:val="16"/>
          <w:szCs w:val="16"/>
          <w:lang w:val="es-MX"/>
        </w:rPr>
        <w:t xml:space="preserve"> </w:t>
      </w:r>
      <w:r w:rsidRPr="0046086B">
        <w:rPr>
          <w:color w:val="000000" w:themeColor="text1"/>
          <w:sz w:val="16"/>
          <w:szCs w:val="16"/>
          <w:lang w:val="es-MX"/>
        </w:rPr>
        <w:tab/>
      </w:r>
      <w:r w:rsidRPr="0046086B">
        <w:rPr>
          <w:rFonts w:eastAsia="Calibri"/>
          <w:i/>
          <w:color w:val="000000" w:themeColor="text1"/>
          <w:sz w:val="16"/>
          <w:szCs w:val="16"/>
          <w:lang w:val="es-MX"/>
        </w:rPr>
        <w:t>Cfr.</w:t>
      </w:r>
      <w:r w:rsidRPr="0046086B">
        <w:rPr>
          <w:rFonts w:eastAsia="Calibri"/>
          <w:color w:val="000000" w:themeColor="text1"/>
          <w:sz w:val="16"/>
          <w:szCs w:val="16"/>
          <w:lang w:val="es-MX"/>
        </w:rPr>
        <w:t xml:space="preserve"> </w:t>
      </w:r>
      <w:r w:rsidRPr="0046086B">
        <w:rPr>
          <w:bCs/>
          <w:i/>
          <w:color w:val="000000" w:themeColor="text1"/>
          <w:sz w:val="16"/>
          <w:szCs w:val="16"/>
          <w:lang w:val="es-MX"/>
        </w:rPr>
        <w:t xml:space="preserve">Caso Familia Barrios Vs. Venezuela, supra, </w:t>
      </w:r>
      <w:r w:rsidRPr="0046086B">
        <w:rPr>
          <w:color w:val="000000" w:themeColor="text1"/>
          <w:sz w:val="16"/>
          <w:szCs w:val="16"/>
          <w:lang w:val="es-MX"/>
        </w:rPr>
        <w:t xml:space="preserve">párr. 49, </w:t>
      </w:r>
      <w:r w:rsidRPr="0046086B">
        <w:rPr>
          <w:color w:val="000000" w:themeColor="text1"/>
          <w:sz w:val="16"/>
          <w:szCs w:val="16"/>
        </w:rPr>
        <w:t xml:space="preserve">y </w:t>
      </w:r>
      <w:r w:rsidRPr="0046086B">
        <w:rPr>
          <w:i/>
          <w:iCs/>
          <w:color w:val="000000" w:themeColor="text1"/>
          <w:sz w:val="16"/>
          <w:szCs w:val="16"/>
        </w:rPr>
        <w:t>Caso Hermanos Landaeta Mejías y otros Vs. Venezuela, supra</w:t>
      </w:r>
      <w:r w:rsidRPr="0046086B">
        <w:rPr>
          <w:color w:val="000000" w:themeColor="text1"/>
          <w:sz w:val="16"/>
          <w:szCs w:val="16"/>
          <w:lang w:val="es-MX"/>
        </w:rPr>
        <w:t>, párr. 142.</w:t>
      </w:r>
    </w:p>
  </w:footnote>
  <w:footnote w:id="104">
    <w:p w14:paraId="2BE637C6" w14:textId="3DBEA850" w:rsidR="005579C3" w:rsidRPr="0046086B" w:rsidRDefault="005579C3" w:rsidP="0046086B">
      <w:pPr>
        <w:pStyle w:val="Textonotapie"/>
        <w:tabs>
          <w:tab w:val="left" w:pos="567"/>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t xml:space="preserve">Artículos 8 y 25 de la Convención Americana sobre Derechos Humanos. </w:t>
      </w:r>
    </w:p>
  </w:footnote>
  <w:footnote w:id="105">
    <w:p w14:paraId="46DDBFE1" w14:textId="1DB8F27C" w:rsidR="005579C3" w:rsidRPr="0046086B" w:rsidRDefault="005579C3" w:rsidP="0046086B">
      <w:pPr>
        <w:pStyle w:val="Textonotapie"/>
        <w:tabs>
          <w:tab w:val="left" w:pos="567"/>
          <w:tab w:val="left" w:pos="709"/>
        </w:tabs>
        <w:rPr>
          <w:sz w:val="16"/>
          <w:szCs w:val="16"/>
        </w:rPr>
      </w:pPr>
      <w:r w:rsidRPr="0046086B">
        <w:rPr>
          <w:rStyle w:val="Refdenotaalpie"/>
          <w:sz w:val="16"/>
          <w:szCs w:val="16"/>
        </w:rPr>
        <w:footnoteRef/>
      </w:r>
      <w:r w:rsidRPr="0046086B">
        <w:rPr>
          <w:sz w:val="16"/>
          <w:szCs w:val="16"/>
        </w:rPr>
        <w:t xml:space="preserve"> </w:t>
      </w:r>
      <w:r w:rsidRPr="0046086B">
        <w:rPr>
          <w:sz w:val="16"/>
          <w:szCs w:val="16"/>
        </w:rPr>
        <w:tab/>
      </w:r>
      <w:r w:rsidRPr="0046086B">
        <w:rPr>
          <w:i/>
          <w:sz w:val="16"/>
          <w:szCs w:val="16"/>
          <w:lang w:val="es-ES"/>
        </w:rPr>
        <w:t xml:space="preserve">Cfr. Caso Velásquez Rodríguez Vs. Honduras. Excepciones Preliminares, supra, </w:t>
      </w:r>
      <w:r w:rsidRPr="0046086B">
        <w:rPr>
          <w:iCs/>
          <w:sz w:val="16"/>
          <w:szCs w:val="16"/>
          <w:lang w:val="es-ES"/>
        </w:rPr>
        <w:t>párr. 91</w:t>
      </w:r>
      <w:r w:rsidRPr="0046086B">
        <w:rPr>
          <w:color w:val="000000" w:themeColor="text1"/>
          <w:sz w:val="16"/>
          <w:szCs w:val="16"/>
          <w:lang w:eastAsia="es-PE"/>
        </w:rPr>
        <w:t xml:space="preserve">, y </w:t>
      </w:r>
      <w:r w:rsidRPr="0046086B">
        <w:rPr>
          <w:rStyle w:val="Textoennegrita"/>
          <w:rFonts w:eastAsia="MS Mincho"/>
          <w:b w:val="0"/>
          <w:i/>
          <w:color w:val="000000"/>
          <w:sz w:val="16"/>
          <w:szCs w:val="16"/>
          <w:shd w:val="clear" w:color="auto" w:fill="FFFFFF"/>
        </w:rPr>
        <w:t>Caso Azul Rojas Marín y otra Vs. Perú, supra</w:t>
      </w:r>
      <w:r w:rsidRPr="0046086B">
        <w:rPr>
          <w:color w:val="000000" w:themeColor="text1"/>
          <w:sz w:val="16"/>
          <w:szCs w:val="16"/>
          <w:lang w:eastAsia="es-PE"/>
        </w:rPr>
        <w:t>,</w:t>
      </w:r>
      <w:r w:rsidRPr="0046086B">
        <w:rPr>
          <w:i/>
          <w:color w:val="000000" w:themeColor="text1"/>
          <w:sz w:val="16"/>
          <w:szCs w:val="16"/>
          <w:lang w:eastAsia="es-PE"/>
        </w:rPr>
        <w:t xml:space="preserve"> </w:t>
      </w:r>
      <w:r w:rsidRPr="0046086B">
        <w:rPr>
          <w:color w:val="000000" w:themeColor="text1"/>
          <w:sz w:val="16"/>
          <w:szCs w:val="16"/>
          <w:lang w:eastAsia="es-PE"/>
        </w:rPr>
        <w:t>párr. 173.</w:t>
      </w:r>
    </w:p>
  </w:footnote>
  <w:footnote w:id="106">
    <w:p w14:paraId="4416ECDC" w14:textId="6BA7824D" w:rsidR="005579C3" w:rsidRPr="0046086B" w:rsidRDefault="005579C3" w:rsidP="0046086B">
      <w:pPr>
        <w:pStyle w:val="Textonotapie"/>
        <w:tabs>
          <w:tab w:val="left" w:pos="567"/>
          <w:tab w:val="left" w:pos="709"/>
        </w:tabs>
        <w:rPr>
          <w:sz w:val="16"/>
          <w:szCs w:val="16"/>
        </w:rPr>
      </w:pPr>
      <w:r w:rsidRPr="0046086B">
        <w:rPr>
          <w:rStyle w:val="Refdenotaalpie"/>
          <w:sz w:val="16"/>
          <w:szCs w:val="16"/>
        </w:rPr>
        <w:footnoteRef/>
      </w:r>
      <w:r w:rsidRPr="0046086B">
        <w:rPr>
          <w:sz w:val="16"/>
          <w:szCs w:val="16"/>
        </w:rPr>
        <w:t xml:space="preserve"> </w:t>
      </w:r>
      <w:r w:rsidRPr="0046086B">
        <w:rPr>
          <w:sz w:val="16"/>
          <w:szCs w:val="16"/>
        </w:rPr>
        <w:tab/>
      </w:r>
      <w:r w:rsidRPr="0046086B">
        <w:rPr>
          <w:i/>
          <w:iCs/>
          <w:sz w:val="16"/>
          <w:szCs w:val="16"/>
        </w:rPr>
        <w:t>Cfr. Caso Bulacio Vs. Argentina. Fondo, Reparaciones y Costas</w:t>
      </w:r>
      <w:r w:rsidRPr="0046086B">
        <w:rPr>
          <w:sz w:val="16"/>
          <w:szCs w:val="16"/>
        </w:rPr>
        <w:t>. Sentencia de 18 de septiembre de 2003. Serie C No. 100, párr. 114</w:t>
      </w:r>
      <w:r w:rsidRPr="0046086B">
        <w:rPr>
          <w:color w:val="000000" w:themeColor="text1"/>
          <w:sz w:val="16"/>
          <w:szCs w:val="16"/>
          <w:lang w:eastAsia="es-PE"/>
        </w:rPr>
        <w:t xml:space="preserve">, y </w:t>
      </w:r>
      <w:r w:rsidRPr="0046086B">
        <w:rPr>
          <w:rStyle w:val="Textoennegrita"/>
          <w:rFonts w:eastAsia="MS Mincho"/>
          <w:b w:val="0"/>
          <w:i/>
          <w:color w:val="000000"/>
          <w:sz w:val="16"/>
          <w:szCs w:val="16"/>
          <w:shd w:val="clear" w:color="auto" w:fill="FFFFFF"/>
        </w:rPr>
        <w:t>Caso Azul Rojas Marín y otra Vs. Perú, supra</w:t>
      </w:r>
      <w:r w:rsidRPr="0046086B">
        <w:rPr>
          <w:color w:val="000000" w:themeColor="text1"/>
          <w:sz w:val="16"/>
          <w:szCs w:val="16"/>
          <w:lang w:eastAsia="es-PE"/>
        </w:rPr>
        <w:t>,</w:t>
      </w:r>
      <w:r w:rsidRPr="0046086B">
        <w:rPr>
          <w:i/>
          <w:color w:val="000000" w:themeColor="text1"/>
          <w:sz w:val="16"/>
          <w:szCs w:val="16"/>
          <w:lang w:eastAsia="es-PE"/>
        </w:rPr>
        <w:t xml:space="preserve"> </w:t>
      </w:r>
      <w:r w:rsidRPr="0046086B">
        <w:rPr>
          <w:color w:val="000000" w:themeColor="text1"/>
          <w:sz w:val="16"/>
          <w:szCs w:val="16"/>
          <w:lang w:eastAsia="es-PE"/>
        </w:rPr>
        <w:t>párr. 86.</w:t>
      </w:r>
    </w:p>
  </w:footnote>
  <w:footnote w:id="107">
    <w:p w14:paraId="2A857EE4" w14:textId="7CDB2FB7" w:rsidR="005579C3" w:rsidRPr="0046086B" w:rsidRDefault="005579C3" w:rsidP="0046086B">
      <w:pPr>
        <w:pStyle w:val="Textonotapie"/>
        <w:tabs>
          <w:tab w:val="left" w:pos="567"/>
          <w:tab w:val="left" w:pos="709"/>
        </w:tabs>
        <w:rPr>
          <w:sz w:val="16"/>
          <w:szCs w:val="16"/>
        </w:rPr>
      </w:pPr>
      <w:r w:rsidRPr="0046086B">
        <w:rPr>
          <w:rStyle w:val="Refdenotaalpie"/>
          <w:sz w:val="16"/>
          <w:szCs w:val="16"/>
        </w:rPr>
        <w:footnoteRef/>
      </w:r>
      <w:r w:rsidRPr="0046086B">
        <w:rPr>
          <w:sz w:val="16"/>
          <w:szCs w:val="16"/>
        </w:rPr>
        <w:t xml:space="preserve"> </w:t>
      </w:r>
      <w:r w:rsidRPr="0046086B">
        <w:rPr>
          <w:sz w:val="16"/>
          <w:szCs w:val="16"/>
        </w:rPr>
        <w:tab/>
      </w:r>
      <w:r w:rsidRPr="0046086B">
        <w:rPr>
          <w:i/>
          <w:iCs/>
          <w:sz w:val="16"/>
          <w:szCs w:val="16"/>
          <w:lang w:val="es-ES" w:eastAsia="es-ES_tradnl"/>
        </w:rPr>
        <w:t>Cfr. Caso Apitz Barbera y otros (“Corte Primera de lo Contencioso Administrativo”) Vs. Venezuela, supra</w:t>
      </w:r>
      <w:r w:rsidRPr="0046086B">
        <w:rPr>
          <w:sz w:val="16"/>
          <w:szCs w:val="16"/>
          <w:lang w:val="es-ES" w:eastAsia="es-ES_tradnl"/>
        </w:rPr>
        <w:t>, párr. 72</w:t>
      </w:r>
      <w:r w:rsidRPr="0046086B">
        <w:rPr>
          <w:sz w:val="16"/>
          <w:szCs w:val="16"/>
        </w:rPr>
        <w:t xml:space="preserve">, y </w:t>
      </w:r>
      <w:r w:rsidRPr="0046086B">
        <w:rPr>
          <w:i/>
          <w:iCs/>
          <w:sz w:val="16"/>
          <w:szCs w:val="16"/>
        </w:rPr>
        <w:t>Caso Rosadio Villavicencio Vs. Perú. Excepciones Preliminares, Fondo, Reparaciones y Costas</w:t>
      </w:r>
      <w:r w:rsidRPr="0046086B">
        <w:rPr>
          <w:sz w:val="16"/>
          <w:szCs w:val="16"/>
        </w:rPr>
        <w:t>. Sentencia de 14 de octubre de 2019. Serie C No. 388, párr. 146.</w:t>
      </w:r>
    </w:p>
  </w:footnote>
  <w:footnote w:id="108">
    <w:p w14:paraId="074DD706" w14:textId="274CD161" w:rsidR="005579C3" w:rsidRPr="0046086B" w:rsidRDefault="005579C3" w:rsidP="0046086B">
      <w:pPr>
        <w:pStyle w:val="Textonotapie"/>
        <w:tabs>
          <w:tab w:val="left" w:pos="567"/>
          <w:tab w:val="left" w:pos="709"/>
        </w:tabs>
        <w:rPr>
          <w:sz w:val="16"/>
          <w:szCs w:val="16"/>
        </w:rPr>
      </w:pPr>
      <w:r w:rsidRPr="0046086B">
        <w:rPr>
          <w:rStyle w:val="Refdenotaalpie"/>
          <w:sz w:val="16"/>
          <w:szCs w:val="16"/>
        </w:rPr>
        <w:footnoteRef/>
      </w:r>
      <w:r w:rsidRPr="0046086B">
        <w:rPr>
          <w:sz w:val="16"/>
          <w:szCs w:val="16"/>
        </w:rPr>
        <w:t xml:space="preserve"> </w:t>
      </w:r>
      <w:r w:rsidRPr="0046086B">
        <w:rPr>
          <w:sz w:val="16"/>
          <w:szCs w:val="16"/>
        </w:rPr>
        <w:tab/>
      </w:r>
      <w:r w:rsidRPr="0046086B">
        <w:rPr>
          <w:i/>
          <w:iCs/>
          <w:sz w:val="16"/>
          <w:szCs w:val="16"/>
          <w:lang w:val="es-ES" w:eastAsia="es-ES_tradnl"/>
        </w:rPr>
        <w:t>Cfr. Caso Apitz Barbera y otros (“Corte Primera de lo Contencioso Administrativo”) Vs. Venezuela</w:t>
      </w:r>
      <w:r w:rsidRPr="0046086B">
        <w:rPr>
          <w:sz w:val="16"/>
          <w:szCs w:val="16"/>
          <w:lang w:val="es-ES" w:eastAsia="es-ES_tradnl"/>
        </w:rPr>
        <w:t xml:space="preserve">. </w:t>
      </w:r>
      <w:r w:rsidRPr="0046086B">
        <w:rPr>
          <w:i/>
          <w:iCs/>
          <w:sz w:val="16"/>
          <w:szCs w:val="16"/>
          <w:lang w:val="es-ES" w:eastAsia="es-ES_tradnl"/>
        </w:rPr>
        <w:t>Excepción Preliminar, Fondo, Reparaciones y Costas, supra</w:t>
      </w:r>
      <w:r w:rsidRPr="0046086B">
        <w:rPr>
          <w:sz w:val="16"/>
          <w:szCs w:val="16"/>
          <w:lang w:val="es-ES" w:eastAsia="es-ES_tradnl"/>
        </w:rPr>
        <w:t>, párr. 72</w:t>
      </w:r>
      <w:r w:rsidRPr="0046086B">
        <w:rPr>
          <w:sz w:val="16"/>
          <w:szCs w:val="16"/>
        </w:rPr>
        <w:t xml:space="preserve">, y </w:t>
      </w:r>
      <w:r w:rsidRPr="0046086B">
        <w:rPr>
          <w:i/>
          <w:iCs/>
          <w:sz w:val="16"/>
          <w:szCs w:val="16"/>
        </w:rPr>
        <w:t>Caso Rosadio Villavicencio Vs. Perú, supra</w:t>
      </w:r>
      <w:r w:rsidRPr="0046086B">
        <w:rPr>
          <w:sz w:val="16"/>
          <w:szCs w:val="16"/>
        </w:rPr>
        <w:t>, párr. 146.</w:t>
      </w:r>
    </w:p>
  </w:footnote>
  <w:footnote w:id="109">
    <w:p w14:paraId="4F0BF276" w14:textId="789821C7" w:rsidR="005579C3" w:rsidRPr="0046086B" w:rsidRDefault="005579C3" w:rsidP="0046086B">
      <w:pPr>
        <w:pStyle w:val="Textonotapie"/>
        <w:tabs>
          <w:tab w:val="left" w:pos="567"/>
          <w:tab w:val="left" w:pos="709"/>
        </w:tabs>
        <w:rPr>
          <w:sz w:val="16"/>
          <w:szCs w:val="16"/>
        </w:rPr>
      </w:pPr>
      <w:r w:rsidRPr="0046086B">
        <w:rPr>
          <w:rStyle w:val="Refdenotaalpie"/>
          <w:sz w:val="16"/>
          <w:szCs w:val="16"/>
        </w:rPr>
        <w:footnoteRef/>
      </w:r>
      <w:r w:rsidRPr="0046086B">
        <w:rPr>
          <w:sz w:val="16"/>
          <w:szCs w:val="16"/>
        </w:rPr>
        <w:t xml:space="preserve"> </w:t>
      </w:r>
      <w:r w:rsidRPr="0046086B">
        <w:rPr>
          <w:sz w:val="16"/>
          <w:szCs w:val="16"/>
        </w:rPr>
        <w:tab/>
      </w:r>
      <w:r w:rsidRPr="0046086B">
        <w:rPr>
          <w:i/>
          <w:iCs/>
          <w:sz w:val="16"/>
          <w:szCs w:val="16"/>
        </w:rPr>
        <w:t>Cfr</w:t>
      </w:r>
      <w:r w:rsidRPr="0046086B">
        <w:rPr>
          <w:sz w:val="16"/>
          <w:szCs w:val="16"/>
        </w:rPr>
        <w:t>. Denuncia interpuesta por J.S.O.N., de 18 de abril de 1996 (expediente de prueba, folio 836).</w:t>
      </w:r>
    </w:p>
  </w:footnote>
  <w:footnote w:id="110">
    <w:p w14:paraId="6C1BBA0B" w14:textId="730872B6"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iCs/>
          <w:color w:val="000000" w:themeColor="text1"/>
          <w:sz w:val="16"/>
          <w:szCs w:val="16"/>
        </w:rPr>
        <w:t>Cfr</w:t>
      </w:r>
      <w:r w:rsidRPr="0046086B">
        <w:rPr>
          <w:color w:val="000000" w:themeColor="text1"/>
          <w:sz w:val="16"/>
          <w:szCs w:val="16"/>
        </w:rPr>
        <w:t>. Resolución del Juez Primero de Distrito del Crimen de Chinandega en virtud de la cual se absuelve a los procesados J.M.R.V., R.J.S.O., S.A.V.B. y F.S.O.N., de 27 de febrero de 1997 (expediente de prueba, folios 3479 a 3483).</w:t>
      </w:r>
    </w:p>
  </w:footnote>
  <w:footnote w:id="111">
    <w:p w14:paraId="45964025" w14:textId="77777777"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xml:space="preserve">. </w:t>
      </w:r>
      <w:r w:rsidRPr="0046086B">
        <w:rPr>
          <w:rFonts w:cs="Calibri"/>
          <w:color w:val="000000" w:themeColor="text1"/>
          <w:sz w:val="16"/>
          <w:szCs w:val="16"/>
          <w:lang w:val="es-CR" w:eastAsia="en-US"/>
        </w:rPr>
        <w:t>Declaración de Patricio Fernando Roche Azaña en la Audiencia Pública celebrada ante esta Corte el 4 de febrero de 2020, en la que indicó que no tuvo “ningún conocimiento del juicio”</w:t>
      </w:r>
      <w:r w:rsidRPr="0046086B">
        <w:rPr>
          <w:color w:val="000000" w:themeColor="text1"/>
          <w:sz w:val="16"/>
          <w:szCs w:val="16"/>
          <w:lang w:val="es-CR"/>
        </w:rPr>
        <w:t xml:space="preserve">, </w:t>
      </w:r>
      <w:r w:rsidRPr="0046086B">
        <w:rPr>
          <w:color w:val="000000" w:themeColor="text1"/>
          <w:sz w:val="16"/>
          <w:szCs w:val="16"/>
        </w:rPr>
        <w:t xml:space="preserve">Informe de Fondo de la Comisión, no. 114/18, Caso 12.722, </w:t>
      </w:r>
      <w:r w:rsidRPr="0046086B">
        <w:rPr>
          <w:i/>
          <w:color w:val="000000" w:themeColor="text1"/>
          <w:sz w:val="16"/>
          <w:szCs w:val="16"/>
        </w:rPr>
        <w:t xml:space="preserve">Pedro Basilio Roche Azaña y Otro – </w:t>
      </w:r>
      <w:r w:rsidRPr="0046086B">
        <w:rPr>
          <w:color w:val="000000" w:themeColor="text1"/>
          <w:sz w:val="16"/>
          <w:szCs w:val="16"/>
        </w:rPr>
        <w:t>Nicaragua, de 5 de octubre de 2012, OEA/Ser.L/V/II.169, Doc. 131 (Expediente de Fondo, folios 14 y 21).</w:t>
      </w:r>
    </w:p>
  </w:footnote>
  <w:footnote w:id="112">
    <w:p w14:paraId="32E9C798" w14:textId="6FD52E2F" w:rsidR="005579C3" w:rsidRPr="0046086B" w:rsidRDefault="005579C3" w:rsidP="0046086B">
      <w:pPr>
        <w:pStyle w:val="Textonotapie"/>
        <w:tabs>
          <w:tab w:val="left" w:pos="567"/>
          <w:tab w:val="left" w:pos="709"/>
        </w:tabs>
        <w:rPr>
          <w:rFonts w:cs="Calibri"/>
          <w:color w:val="000000" w:themeColor="text1"/>
          <w:sz w:val="16"/>
          <w:szCs w:val="16"/>
          <w:lang w:val="es-CR" w:eastAsia="en-US"/>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color w:val="000000" w:themeColor="text1"/>
          <w:sz w:val="16"/>
          <w:szCs w:val="16"/>
        </w:rPr>
        <w:t xml:space="preserve">. Informe de Fondo de la Comisión, no. 114/18, Caso 12.722, </w:t>
      </w:r>
      <w:r w:rsidRPr="0046086B">
        <w:rPr>
          <w:i/>
          <w:color w:val="000000" w:themeColor="text1"/>
          <w:sz w:val="16"/>
          <w:szCs w:val="16"/>
        </w:rPr>
        <w:t xml:space="preserve">Pedro Basilio Roche Azaña y Otro – </w:t>
      </w:r>
      <w:r w:rsidRPr="0046086B">
        <w:rPr>
          <w:color w:val="000000" w:themeColor="text1"/>
          <w:sz w:val="16"/>
          <w:szCs w:val="16"/>
        </w:rPr>
        <w:t>Nicaragua, de 5 de octubre de 2012, OEA/Ser.L/V/II.169, Doc. 131 (expediente de Fondo, folios 14 y 21).</w:t>
      </w:r>
    </w:p>
  </w:footnote>
  <w:footnote w:id="113">
    <w:p w14:paraId="6B079EB6" w14:textId="1E783BDD" w:rsidR="005579C3" w:rsidRPr="0046086B" w:rsidRDefault="005579C3" w:rsidP="0046086B">
      <w:pPr>
        <w:pStyle w:val="Textonotapie"/>
        <w:tabs>
          <w:tab w:val="left" w:pos="567"/>
          <w:tab w:val="left" w:pos="709"/>
        </w:tabs>
        <w:rPr>
          <w:sz w:val="16"/>
          <w:szCs w:val="16"/>
          <w:lang w:val="es-ES"/>
        </w:rPr>
      </w:pPr>
      <w:r w:rsidRPr="0046086B">
        <w:rPr>
          <w:rStyle w:val="Refdenotaalpie"/>
          <w:sz w:val="16"/>
          <w:szCs w:val="16"/>
        </w:rPr>
        <w:footnoteRef/>
      </w:r>
      <w:r w:rsidRPr="0046086B">
        <w:rPr>
          <w:sz w:val="16"/>
          <w:szCs w:val="16"/>
        </w:rPr>
        <w:t xml:space="preserve"> </w:t>
      </w:r>
      <w:r w:rsidRPr="0046086B">
        <w:rPr>
          <w:sz w:val="16"/>
          <w:szCs w:val="16"/>
          <w:lang w:val="es-ES"/>
        </w:rPr>
        <w:tab/>
      </w:r>
      <w:r w:rsidRPr="0046086B">
        <w:rPr>
          <w:i/>
          <w:iCs/>
          <w:sz w:val="16"/>
          <w:szCs w:val="16"/>
          <w:lang w:val="es-ES"/>
        </w:rPr>
        <w:t>Cfr</w:t>
      </w:r>
      <w:r w:rsidRPr="0046086B">
        <w:rPr>
          <w:sz w:val="16"/>
          <w:szCs w:val="16"/>
          <w:lang w:val="es-ES"/>
        </w:rPr>
        <w:t>. Código de Instrucción Criminal, artículo 177 (expediente de prueba, folio 3655). Dicho artículo estipulaba lo siguiente:</w:t>
      </w:r>
    </w:p>
    <w:p w14:paraId="6BED450C" w14:textId="118EF390" w:rsidR="005579C3" w:rsidRPr="0046086B" w:rsidRDefault="005579C3" w:rsidP="0046086B">
      <w:pPr>
        <w:pStyle w:val="Textonotapie"/>
        <w:spacing w:before="60" w:after="60"/>
        <w:ind w:left="851" w:right="726"/>
        <w:rPr>
          <w:sz w:val="16"/>
          <w:szCs w:val="16"/>
          <w:lang w:val="es-ES"/>
        </w:rPr>
      </w:pPr>
      <w:r w:rsidRPr="0046086B">
        <w:rPr>
          <w:sz w:val="16"/>
          <w:szCs w:val="16"/>
          <w:lang w:val="es-ES"/>
        </w:rPr>
        <w:t>Las primeras diligencias de instrucción […] se terminarán dentro de diez días, a lo más si el reo estuviere aprehendido, en cuyo caso, los jueces locales que las hayan instruido darán cuenta con ella inmediatamente y en el estado que se hallen al Juez de Distrito de lo Criminal respectivo, poniendo a su disposición al detenido y las cosas que se le hubieren aprehendido.</w:t>
      </w:r>
    </w:p>
  </w:footnote>
  <w:footnote w:id="114">
    <w:p w14:paraId="0B46093D" w14:textId="6B9F142C" w:rsidR="005579C3" w:rsidRPr="0046086B" w:rsidRDefault="005579C3" w:rsidP="0046086B">
      <w:pPr>
        <w:pStyle w:val="Textonotapie"/>
        <w:tabs>
          <w:tab w:val="left" w:pos="567"/>
          <w:tab w:val="left" w:pos="709"/>
        </w:tabs>
        <w:rPr>
          <w:sz w:val="16"/>
          <w:szCs w:val="16"/>
        </w:rPr>
      </w:pPr>
      <w:r w:rsidRPr="0046086B">
        <w:rPr>
          <w:rStyle w:val="Refdenotaalpie"/>
          <w:sz w:val="16"/>
          <w:szCs w:val="16"/>
        </w:rPr>
        <w:footnoteRef/>
      </w:r>
      <w:r w:rsidRPr="0046086B">
        <w:rPr>
          <w:sz w:val="16"/>
          <w:szCs w:val="16"/>
        </w:rPr>
        <w:t xml:space="preserve"> </w:t>
      </w:r>
      <w:r w:rsidRPr="0046086B">
        <w:rPr>
          <w:sz w:val="16"/>
          <w:szCs w:val="16"/>
        </w:rPr>
        <w:tab/>
      </w:r>
      <w:r w:rsidRPr="0046086B">
        <w:rPr>
          <w:i/>
          <w:iCs/>
          <w:sz w:val="16"/>
          <w:szCs w:val="16"/>
          <w:lang w:val="es-ES"/>
        </w:rPr>
        <w:t>Cfr</w:t>
      </w:r>
      <w:r w:rsidRPr="0046086B">
        <w:rPr>
          <w:sz w:val="16"/>
          <w:szCs w:val="16"/>
          <w:lang w:val="es-ES"/>
        </w:rPr>
        <w:t>. Código de Instrucción Criminal, artículos 208 y 220 (expediente de prueba, folios 3664 y 3667)</w:t>
      </w:r>
      <w:r w:rsidRPr="0046086B">
        <w:rPr>
          <w:sz w:val="16"/>
          <w:szCs w:val="16"/>
        </w:rPr>
        <w:t xml:space="preserve">. </w:t>
      </w:r>
    </w:p>
  </w:footnote>
  <w:footnote w:id="115">
    <w:p w14:paraId="121C28AC" w14:textId="26A7A20C" w:rsidR="005579C3" w:rsidRPr="0046086B" w:rsidRDefault="005579C3" w:rsidP="0046086B">
      <w:pPr>
        <w:pStyle w:val="Textonotapie"/>
        <w:tabs>
          <w:tab w:val="left" w:pos="567"/>
          <w:tab w:val="left" w:pos="709"/>
        </w:tabs>
        <w:rPr>
          <w:sz w:val="16"/>
          <w:szCs w:val="16"/>
        </w:rPr>
      </w:pPr>
      <w:r w:rsidRPr="0046086B">
        <w:rPr>
          <w:rStyle w:val="Refdenotaalpie"/>
          <w:sz w:val="16"/>
          <w:szCs w:val="16"/>
        </w:rPr>
        <w:footnoteRef/>
      </w:r>
      <w:r w:rsidRPr="0046086B">
        <w:rPr>
          <w:sz w:val="16"/>
          <w:szCs w:val="16"/>
        </w:rPr>
        <w:t xml:space="preserve"> </w:t>
      </w:r>
      <w:r w:rsidRPr="0046086B">
        <w:rPr>
          <w:sz w:val="16"/>
          <w:szCs w:val="16"/>
        </w:rPr>
        <w:tab/>
      </w:r>
      <w:r w:rsidRPr="0046086B">
        <w:rPr>
          <w:i/>
          <w:iCs/>
          <w:sz w:val="16"/>
          <w:szCs w:val="16"/>
          <w:lang w:val="es-ES"/>
        </w:rPr>
        <w:t>Idem</w:t>
      </w:r>
      <w:r w:rsidRPr="0046086B">
        <w:rPr>
          <w:sz w:val="16"/>
          <w:szCs w:val="16"/>
          <w:lang w:val="es-ES"/>
        </w:rPr>
        <w:t>.</w:t>
      </w:r>
    </w:p>
  </w:footnote>
  <w:footnote w:id="116">
    <w:p w14:paraId="5A6C258F" w14:textId="3D1ACB96" w:rsidR="005579C3" w:rsidRPr="0046086B" w:rsidRDefault="005579C3" w:rsidP="0046086B">
      <w:pPr>
        <w:pStyle w:val="Textonotapie"/>
        <w:tabs>
          <w:tab w:val="left" w:pos="567"/>
          <w:tab w:val="left" w:pos="709"/>
        </w:tabs>
        <w:rPr>
          <w:sz w:val="16"/>
          <w:szCs w:val="16"/>
        </w:rPr>
      </w:pPr>
      <w:r w:rsidRPr="0046086B">
        <w:rPr>
          <w:rStyle w:val="Refdenotaalpie"/>
          <w:sz w:val="16"/>
          <w:szCs w:val="16"/>
        </w:rPr>
        <w:footnoteRef/>
      </w:r>
      <w:r w:rsidRPr="0046086B">
        <w:rPr>
          <w:sz w:val="16"/>
          <w:szCs w:val="16"/>
        </w:rPr>
        <w:t xml:space="preserve"> </w:t>
      </w:r>
      <w:r w:rsidRPr="0046086B">
        <w:rPr>
          <w:sz w:val="16"/>
          <w:szCs w:val="16"/>
        </w:rPr>
        <w:tab/>
      </w:r>
      <w:r w:rsidRPr="0046086B">
        <w:rPr>
          <w:i/>
          <w:iCs/>
          <w:sz w:val="16"/>
          <w:szCs w:val="16"/>
          <w:lang w:val="es-ES"/>
        </w:rPr>
        <w:t>Cfr</w:t>
      </w:r>
      <w:r w:rsidRPr="0046086B">
        <w:rPr>
          <w:sz w:val="16"/>
          <w:szCs w:val="16"/>
          <w:lang w:val="es-ES"/>
        </w:rPr>
        <w:t>. Código de Instrucción Criminal, artículo 211 (expediente de prueba, folio 3664)</w:t>
      </w:r>
      <w:r w:rsidRPr="0046086B">
        <w:rPr>
          <w:sz w:val="16"/>
          <w:szCs w:val="16"/>
        </w:rPr>
        <w:t xml:space="preserve">. </w:t>
      </w:r>
    </w:p>
  </w:footnote>
  <w:footnote w:id="117">
    <w:p w14:paraId="67FB9C3A" w14:textId="77777777" w:rsidR="005579C3" w:rsidRPr="0046086B" w:rsidRDefault="005579C3" w:rsidP="0046086B">
      <w:pPr>
        <w:pStyle w:val="Textonotapie"/>
        <w:tabs>
          <w:tab w:val="left" w:pos="567"/>
          <w:tab w:val="left" w:pos="709"/>
        </w:tabs>
        <w:rPr>
          <w:color w:val="000000" w:themeColor="text1"/>
          <w:sz w:val="16"/>
          <w:szCs w:val="16"/>
          <w:lang w:val="es-CR"/>
        </w:rPr>
      </w:pPr>
      <w:r w:rsidRPr="0046086B">
        <w:rPr>
          <w:rStyle w:val="Refdenotaalpie"/>
          <w:rFonts w:eastAsia="MS Mincho"/>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t xml:space="preserve">El señor Patricio Fernando Roche Azaña estuvo dos meses en coma tras los hechos acaecidos el 14 de abril de 1996. </w:t>
      </w:r>
      <w:r w:rsidRPr="0046086B">
        <w:rPr>
          <w:i/>
          <w:color w:val="000000" w:themeColor="text1"/>
          <w:sz w:val="16"/>
          <w:szCs w:val="16"/>
        </w:rPr>
        <w:t>Cfr</w:t>
      </w:r>
      <w:r w:rsidRPr="0046086B">
        <w:rPr>
          <w:color w:val="000000" w:themeColor="text1"/>
          <w:sz w:val="16"/>
          <w:szCs w:val="16"/>
        </w:rPr>
        <w:t xml:space="preserve">. </w:t>
      </w:r>
      <w:r w:rsidRPr="0046086B">
        <w:rPr>
          <w:rFonts w:cs="Calibri"/>
          <w:color w:val="000000" w:themeColor="text1"/>
          <w:sz w:val="16"/>
          <w:szCs w:val="16"/>
          <w:lang w:val="es-CR"/>
        </w:rPr>
        <w:t>Declaración de Patricio Fernando Roche Azaña en la Audiencia Pública celebrada ante esta Corte el 4 de febrero de 2020.</w:t>
      </w:r>
    </w:p>
  </w:footnote>
  <w:footnote w:id="118">
    <w:p w14:paraId="455CEDBA" w14:textId="628F307A" w:rsidR="005579C3" w:rsidRPr="0046086B" w:rsidRDefault="005579C3" w:rsidP="0046086B">
      <w:pPr>
        <w:pStyle w:val="Textonotapie"/>
        <w:tabs>
          <w:tab w:val="left" w:pos="567"/>
          <w:tab w:val="left" w:pos="709"/>
        </w:tabs>
        <w:rPr>
          <w:sz w:val="16"/>
          <w:szCs w:val="16"/>
        </w:rPr>
      </w:pPr>
      <w:r w:rsidRPr="0046086B">
        <w:rPr>
          <w:rStyle w:val="Refdenotaalpie"/>
          <w:sz w:val="16"/>
          <w:szCs w:val="16"/>
        </w:rPr>
        <w:footnoteRef/>
      </w:r>
      <w:r w:rsidRPr="0046086B">
        <w:rPr>
          <w:sz w:val="16"/>
          <w:szCs w:val="16"/>
        </w:rPr>
        <w:t xml:space="preserve"> </w:t>
      </w:r>
      <w:r w:rsidRPr="0046086B">
        <w:rPr>
          <w:sz w:val="16"/>
          <w:szCs w:val="16"/>
        </w:rPr>
        <w:tab/>
      </w:r>
      <w:r w:rsidRPr="0046086B">
        <w:rPr>
          <w:sz w:val="16"/>
          <w:szCs w:val="16"/>
          <w:lang w:val="es-ES" w:eastAsia="en-US"/>
        </w:rPr>
        <w:t>Durante la etapa plenaria, el juez convocaba a la desinsaculación de la lista de diez ciudadanos que podían conformar el Tribunal de Jurados, uno de los cuales podía ser recusado sin causa por cada parte.</w:t>
      </w:r>
      <w:r w:rsidRPr="0046086B">
        <w:rPr>
          <w:rStyle w:val="Refdenotaalpie"/>
          <w:i/>
          <w:iCs/>
          <w:sz w:val="16"/>
          <w:szCs w:val="16"/>
          <w:vertAlign w:val="baseline"/>
        </w:rPr>
        <w:t xml:space="preserve"> Cfr</w:t>
      </w:r>
      <w:r w:rsidRPr="0046086B">
        <w:rPr>
          <w:i/>
          <w:sz w:val="16"/>
          <w:szCs w:val="16"/>
          <w:lang w:val="es-CR"/>
        </w:rPr>
        <w:t xml:space="preserve">. </w:t>
      </w:r>
      <w:r w:rsidRPr="0046086B">
        <w:rPr>
          <w:sz w:val="16"/>
          <w:szCs w:val="16"/>
          <w:lang w:val="es-CR"/>
        </w:rPr>
        <w:t xml:space="preserve">Artículos 274 y 275 del Código de Instrucción Criminal (expediente de prueba, folio </w:t>
      </w:r>
      <w:r w:rsidRPr="0046086B">
        <w:rPr>
          <w:sz w:val="16"/>
          <w:szCs w:val="16"/>
          <w:lang w:val="es-ES"/>
        </w:rPr>
        <w:t>3682</w:t>
      </w:r>
      <w:r w:rsidRPr="0046086B">
        <w:rPr>
          <w:sz w:val="16"/>
          <w:szCs w:val="16"/>
          <w:lang w:val="es-CR"/>
        </w:rPr>
        <w:t>). Véase también,</w:t>
      </w:r>
      <w:r w:rsidRPr="0046086B">
        <w:rPr>
          <w:i/>
          <w:sz w:val="16"/>
          <w:szCs w:val="16"/>
          <w:lang w:val="es-CR"/>
        </w:rPr>
        <w:t xml:space="preserve"> </w:t>
      </w:r>
      <w:r w:rsidRPr="0046086B">
        <w:rPr>
          <w:sz w:val="16"/>
          <w:szCs w:val="16"/>
          <w:lang w:val="es-CR"/>
        </w:rPr>
        <w:t xml:space="preserve">artículo 277 del Código de Instrucción Criminal (expediente de prueba, folio </w:t>
      </w:r>
      <w:r w:rsidRPr="0046086B">
        <w:rPr>
          <w:sz w:val="16"/>
          <w:szCs w:val="16"/>
          <w:lang w:val="es-ES"/>
        </w:rPr>
        <w:t>3683</w:t>
      </w:r>
      <w:r w:rsidRPr="0046086B">
        <w:rPr>
          <w:sz w:val="16"/>
          <w:szCs w:val="16"/>
          <w:lang w:val="es-CR"/>
        </w:rPr>
        <w:t>).</w:t>
      </w:r>
    </w:p>
  </w:footnote>
  <w:footnote w:id="119">
    <w:p w14:paraId="35063E16" w14:textId="0E33E559" w:rsidR="005579C3" w:rsidRPr="0046086B" w:rsidRDefault="005579C3" w:rsidP="0046086B">
      <w:pPr>
        <w:pStyle w:val="Textonotapie"/>
        <w:tabs>
          <w:tab w:val="left" w:pos="567"/>
          <w:tab w:val="left" w:pos="709"/>
        </w:tabs>
        <w:rPr>
          <w:b/>
          <w:spacing w:val="-4"/>
          <w:sz w:val="16"/>
          <w:szCs w:val="16"/>
        </w:rPr>
      </w:pPr>
      <w:r w:rsidRPr="0046086B">
        <w:rPr>
          <w:rStyle w:val="Refdenotaalpie"/>
          <w:rFonts w:eastAsia="MS Mincho"/>
          <w:spacing w:val="-4"/>
          <w:sz w:val="16"/>
          <w:szCs w:val="16"/>
        </w:rPr>
        <w:footnoteRef/>
      </w:r>
      <w:r w:rsidRPr="0046086B">
        <w:rPr>
          <w:spacing w:val="-4"/>
          <w:sz w:val="16"/>
          <w:szCs w:val="16"/>
        </w:rPr>
        <w:t xml:space="preserve"> </w:t>
      </w:r>
      <w:r w:rsidRPr="0046086B">
        <w:rPr>
          <w:spacing w:val="-4"/>
          <w:sz w:val="16"/>
          <w:szCs w:val="16"/>
        </w:rPr>
        <w:tab/>
      </w:r>
      <w:r w:rsidRPr="0046086B">
        <w:rPr>
          <w:i/>
          <w:spacing w:val="-4"/>
          <w:sz w:val="16"/>
          <w:szCs w:val="16"/>
        </w:rPr>
        <w:t>Cfr.</w:t>
      </w:r>
      <w:r w:rsidRPr="0046086B">
        <w:rPr>
          <w:spacing w:val="-4"/>
          <w:sz w:val="16"/>
          <w:szCs w:val="16"/>
        </w:rPr>
        <w:t xml:space="preserve"> </w:t>
      </w:r>
      <w:r w:rsidRPr="0046086B">
        <w:rPr>
          <w:i/>
          <w:spacing w:val="-4"/>
          <w:sz w:val="16"/>
          <w:szCs w:val="16"/>
        </w:rPr>
        <w:t xml:space="preserve">Caso del Tribunal Constitucional Vs. </w:t>
      </w:r>
      <w:r w:rsidRPr="0046086B">
        <w:rPr>
          <w:i/>
          <w:spacing w:val="-4"/>
          <w:sz w:val="16"/>
          <w:szCs w:val="16"/>
          <w:lang w:val="es-CR"/>
        </w:rPr>
        <w:t>Perú.</w:t>
      </w:r>
      <w:r w:rsidRPr="0046086B">
        <w:rPr>
          <w:rStyle w:val="Ttulo1Car"/>
          <w:rFonts w:eastAsia="MS Mincho"/>
          <w:color w:val="000000"/>
          <w:sz w:val="16"/>
          <w:szCs w:val="16"/>
          <w:shd w:val="clear" w:color="auto" w:fill="FFFFFF"/>
        </w:rPr>
        <w:t xml:space="preserve"> </w:t>
      </w:r>
      <w:r w:rsidRPr="0046086B">
        <w:rPr>
          <w:rStyle w:val="Textoennegrita"/>
          <w:rFonts w:eastAsia="MS Mincho"/>
          <w:b w:val="0"/>
          <w:i/>
          <w:color w:val="000000"/>
          <w:sz w:val="16"/>
          <w:szCs w:val="16"/>
          <w:shd w:val="clear" w:color="auto" w:fill="FFFFFF"/>
        </w:rPr>
        <w:t>Fondo, Reparaciones y Costas.</w:t>
      </w:r>
      <w:r w:rsidRPr="0046086B">
        <w:rPr>
          <w:rStyle w:val="Textoennegrita"/>
          <w:rFonts w:eastAsia="MS Mincho"/>
          <w:b w:val="0"/>
          <w:color w:val="000000"/>
          <w:sz w:val="16"/>
          <w:szCs w:val="16"/>
          <w:shd w:val="clear" w:color="auto" w:fill="FFFFFF"/>
        </w:rPr>
        <w:t xml:space="preserve"> Sentencia de 31 de enero de 2001. Serie C No. 71</w:t>
      </w:r>
      <w:r w:rsidRPr="0046086B">
        <w:rPr>
          <w:spacing w:val="-4"/>
          <w:sz w:val="16"/>
          <w:szCs w:val="16"/>
          <w:lang w:val="es-ES"/>
        </w:rPr>
        <w:t>, párr. 81</w:t>
      </w:r>
      <w:r w:rsidRPr="0046086B">
        <w:rPr>
          <w:spacing w:val="-4"/>
          <w:sz w:val="16"/>
          <w:szCs w:val="16"/>
        </w:rPr>
        <w:t xml:space="preserve">, </w:t>
      </w:r>
      <w:r w:rsidRPr="0046086B">
        <w:rPr>
          <w:spacing w:val="-4"/>
          <w:sz w:val="16"/>
          <w:szCs w:val="16"/>
          <w:lang w:val="es-CR" w:bidi="en-US"/>
        </w:rPr>
        <w:t xml:space="preserve">y </w:t>
      </w:r>
      <w:r w:rsidRPr="0046086B">
        <w:rPr>
          <w:i/>
          <w:iCs/>
          <w:spacing w:val="-4"/>
          <w:sz w:val="16"/>
          <w:szCs w:val="16"/>
          <w:lang w:val="es-CR" w:bidi="en-US"/>
        </w:rPr>
        <w:t xml:space="preserve">Caso Wong Ho Wing Vs. Perú. Excepción Preliminar, Fondo, </w:t>
      </w:r>
      <w:r w:rsidRPr="0046086B">
        <w:rPr>
          <w:rStyle w:val="Refdenotaalpie"/>
          <w:rFonts w:eastAsia="Verdana"/>
          <w:sz w:val="16"/>
          <w:szCs w:val="16"/>
          <w:vertAlign w:val="baseline"/>
        </w:rPr>
        <w:t>Reparaciones</w:t>
      </w:r>
      <w:r w:rsidRPr="0046086B">
        <w:rPr>
          <w:i/>
          <w:iCs/>
          <w:spacing w:val="-4"/>
          <w:sz w:val="16"/>
          <w:szCs w:val="16"/>
          <w:lang w:val="es-CR" w:bidi="en-US"/>
        </w:rPr>
        <w:t xml:space="preserve"> y Costas. </w:t>
      </w:r>
      <w:r w:rsidRPr="0046086B">
        <w:rPr>
          <w:spacing w:val="-4"/>
          <w:sz w:val="16"/>
          <w:szCs w:val="16"/>
          <w:lang w:val="es-CR" w:bidi="en-US"/>
        </w:rPr>
        <w:t>Sentencia de 30 de junio de 2015. Serie C No. 297, párr. 228.</w:t>
      </w:r>
    </w:p>
  </w:footnote>
  <w:footnote w:id="120">
    <w:p w14:paraId="4B889B92" w14:textId="4E3A7949" w:rsidR="005579C3" w:rsidRPr="0046086B" w:rsidRDefault="005579C3" w:rsidP="0046086B">
      <w:pPr>
        <w:pStyle w:val="Textonotapie"/>
        <w:tabs>
          <w:tab w:val="left" w:pos="567"/>
          <w:tab w:val="left" w:pos="709"/>
        </w:tabs>
        <w:rPr>
          <w:spacing w:val="-4"/>
          <w:sz w:val="16"/>
          <w:szCs w:val="16"/>
          <w:lang w:val="es-CR"/>
        </w:rPr>
      </w:pPr>
      <w:r w:rsidRPr="0046086B">
        <w:rPr>
          <w:rStyle w:val="Refdenotaalpie"/>
          <w:rFonts w:eastAsia="MS Mincho"/>
          <w:spacing w:val="-4"/>
          <w:sz w:val="16"/>
          <w:szCs w:val="16"/>
        </w:rPr>
        <w:footnoteRef/>
      </w:r>
      <w:r w:rsidRPr="0046086B">
        <w:rPr>
          <w:spacing w:val="-4"/>
          <w:sz w:val="16"/>
          <w:szCs w:val="16"/>
          <w:lang w:val="es-CR"/>
        </w:rPr>
        <w:t xml:space="preserve"> </w:t>
      </w:r>
      <w:r w:rsidRPr="0046086B">
        <w:rPr>
          <w:spacing w:val="-4"/>
          <w:sz w:val="16"/>
          <w:szCs w:val="16"/>
          <w:lang w:val="es-CR"/>
        </w:rPr>
        <w:tab/>
      </w:r>
      <w:r w:rsidRPr="0046086B">
        <w:rPr>
          <w:i/>
          <w:spacing w:val="-4"/>
          <w:sz w:val="16"/>
          <w:szCs w:val="16"/>
        </w:rPr>
        <w:t>Cfr.</w:t>
      </w:r>
      <w:r w:rsidRPr="0046086B">
        <w:rPr>
          <w:spacing w:val="-4"/>
          <w:sz w:val="16"/>
          <w:szCs w:val="16"/>
        </w:rPr>
        <w:t xml:space="preserve"> </w:t>
      </w:r>
      <w:r w:rsidRPr="0046086B">
        <w:rPr>
          <w:i/>
          <w:spacing w:val="-4"/>
          <w:sz w:val="16"/>
          <w:szCs w:val="16"/>
          <w:lang w:val="es-CR"/>
        </w:rPr>
        <w:t xml:space="preserve">Caso Baldeón García Vs. Perú. </w:t>
      </w:r>
      <w:r w:rsidRPr="0046086B">
        <w:rPr>
          <w:rStyle w:val="Textoennegrita"/>
          <w:rFonts w:eastAsia="MS Mincho"/>
          <w:b w:val="0"/>
          <w:i/>
          <w:color w:val="000000"/>
          <w:sz w:val="16"/>
          <w:szCs w:val="16"/>
          <w:shd w:val="clear" w:color="auto" w:fill="FFFFFF"/>
        </w:rPr>
        <w:t>Fondo, Reparaciones y Costas.</w:t>
      </w:r>
      <w:r w:rsidRPr="0046086B">
        <w:rPr>
          <w:rStyle w:val="Textoennegrita"/>
          <w:rFonts w:eastAsia="MS Mincho"/>
          <w:b w:val="0"/>
          <w:color w:val="000000"/>
          <w:sz w:val="16"/>
          <w:szCs w:val="16"/>
          <w:shd w:val="clear" w:color="auto" w:fill="FFFFFF"/>
        </w:rPr>
        <w:t xml:space="preserve"> Sentencia de 6 de abril de 2006. Serie C No. 147</w:t>
      </w:r>
      <w:r w:rsidRPr="0046086B">
        <w:rPr>
          <w:spacing w:val="-4"/>
          <w:sz w:val="16"/>
          <w:szCs w:val="16"/>
          <w:lang w:val="es-CR"/>
        </w:rPr>
        <w:t xml:space="preserve">, párr. </w:t>
      </w:r>
      <w:r w:rsidRPr="0046086B">
        <w:rPr>
          <w:spacing w:val="-4"/>
          <w:sz w:val="16"/>
          <w:szCs w:val="16"/>
          <w:lang w:val="es-ES"/>
        </w:rPr>
        <w:t xml:space="preserve">146, </w:t>
      </w:r>
      <w:r w:rsidRPr="0046086B">
        <w:rPr>
          <w:spacing w:val="-4"/>
          <w:sz w:val="16"/>
          <w:szCs w:val="16"/>
          <w:lang w:val="es-ES" w:bidi="en-US"/>
        </w:rPr>
        <w:t xml:space="preserve">y </w:t>
      </w:r>
      <w:r w:rsidRPr="0046086B">
        <w:rPr>
          <w:i/>
          <w:iCs/>
          <w:spacing w:val="-4"/>
          <w:sz w:val="16"/>
          <w:szCs w:val="16"/>
          <w:lang w:val="es-ES" w:bidi="en-US"/>
        </w:rPr>
        <w:t xml:space="preserve">Caso Wong Ho Wing Vs. </w:t>
      </w:r>
      <w:r w:rsidRPr="0046086B">
        <w:rPr>
          <w:i/>
          <w:iCs/>
          <w:spacing w:val="-4"/>
          <w:sz w:val="16"/>
          <w:szCs w:val="16"/>
          <w:lang w:val="es-CR" w:bidi="en-US"/>
        </w:rPr>
        <w:t>Perú, supra</w:t>
      </w:r>
      <w:r w:rsidRPr="0046086B">
        <w:rPr>
          <w:spacing w:val="-4"/>
          <w:sz w:val="16"/>
          <w:szCs w:val="16"/>
          <w:lang w:val="es-CR" w:bidi="en-US"/>
        </w:rPr>
        <w:t>, párr. 228. Ver también, Reglas de Brasilia sobre acceso a la justicia de las personas en condición de vulnerabilidad, Reglas número 3, 4 y 13.</w:t>
      </w:r>
    </w:p>
  </w:footnote>
  <w:footnote w:id="121">
    <w:p w14:paraId="29BB816F" w14:textId="77777777" w:rsidR="005579C3" w:rsidRPr="0046086B" w:rsidRDefault="005579C3" w:rsidP="0046086B">
      <w:pPr>
        <w:pStyle w:val="Textonotapie"/>
        <w:tabs>
          <w:tab w:val="left" w:pos="567"/>
          <w:tab w:val="left" w:pos="709"/>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iCs/>
          <w:color w:val="000000" w:themeColor="text1"/>
          <w:sz w:val="16"/>
          <w:szCs w:val="16"/>
        </w:rPr>
        <w:t>Cfr</w:t>
      </w:r>
      <w:r w:rsidRPr="0046086B">
        <w:rPr>
          <w:color w:val="000000" w:themeColor="text1"/>
          <w:sz w:val="16"/>
          <w:szCs w:val="16"/>
        </w:rPr>
        <w:t>. Resolución del Juez Primero de Distrito del Crimen de Chinandega en virtud de la cual se absuelve a los procesados J.M.R.V., R.J.S.O., S.A.V.B. y F.S.O.N., de 27 de febrero de 1997 (expediente de prueba, folios 3479 a 3483).</w:t>
      </w:r>
    </w:p>
  </w:footnote>
  <w:footnote w:id="122">
    <w:p w14:paraId="1678895A" w14:textId="77777777" w:rsidR="005579C3" w:rsidRPr="0046086B" w:rsidRDefault="005579C3" w:rsidP="0046086B">
      <w:pPr>
        <w:pStyle w:val="Textonotapie"/>
        <w:tabs>
          <w:tab w:val="left" w:pos="567"/>
          <w:tab w:val="left" w:pos="709"/>
        </w:tabs>
        <w:rPr>
          <w:color w:val="000000" w:themeColor="text1"/>
          <w:sz w:val="16"/>
          <w:szCs w:val="16"/>
          <w:lang w:val="es-ES" w:eastAsia="es-ES_tradnl"/>
        </w:rPr>
      </w:pPr>
      <w:r w:rsidRPr="0046086B">
        <w:rPr>
          <w:rStyle w:val="Refdenotaalpie"/>
          <w:rFonts w:eastAsia="MS Mincho"/>
          <w:color w:val="000000" w:themeColor="text1"/>
          <w:sz w:val="16"/>
          <w:szCs w:val="16"/>
        </w:rPr>
        <w:footnoteRef/>
      </w:r>
      <w:r w:rsidRPr="0046086B">
        <w:rPr>
          <w:color w:val="000000" w:themeColor="text1"/>
          <w:sz w:val="16"/>
          <w:szCs w:val="16"/>
          <w:lang w:val="es-ES"/>
        </w:rPr>
        <w:t xml:space="preserve"> </w:t>
      </w:r>
      <w:r w:rsidRPr="0046086B">
        <w:rPr>
          <w:color w:val="000000" w:themeColor="text1"/>
          <w:sz w:val="16"/>
          <w:szCs w:val="16"/>
          <w:lang w:val="es-ES"/>
        </w:rPr>
        <w:tab/>
        <w:t xml:space="preserve">A este respecto, la Corte ya señaló en su Opinión Consultiva 18/03 sobre la condición jurídica y derechos de los migrantes indocumentados que “[g]eneralmente los migrantes se encuentran en una situación de vulnerabilidad como sujetos de derechos humanos, en una condición individual de ausencia o diferencia de poder con respecto a los no-migrante”. </w:t>
      </w:r>
      <w:r w:rsidRPr="0046086B">
        <w:rPr>
          <w:i/>
          <w:iCs/>
          <w:color w:val="000000" w:themeColor="text1"/>
          <w:sz w:val="16"/>
          <w:szCs w:val="16"/>
          <w:lang w:val="es-ES"/>
        </w:rPr>
        <w:t>Cfr</w:t>
      </w:r>
      <w:r w:rsidRPr="0046086B">
        <w:rPr>
          <w:color w:val="000000" w:themeColor="text1"/>
          <w:sz w:val="16"/>
          <w:szCs w:val="16"/>
          <w:lang w:val="es-ES"/>
        </w:rPr>
        <w:t>. C</w:t>
      </w:r>
      <w:r w:rsidRPr="0046086B">
        <w:rPr>
          <w:color w:val="000000" w:themeColor="text1"/>
          <w:sz w:val="16"/>
          <w:szCs w:val="16"/>
          <w:lang w:val="es-ES" w:eastAsia="es-ES_tradnl"/>
        </w:rPr>
        <w:t>ondición jurídica y derechos de los migrantes indocumentados. Opinión Consultiva OC-18/03 de 17 de septiembre de 2003. Serie A No. 18, párr. 112.</w:t>
      </w:r>
    </w:p>
  </w:footnote>
  <w:footnote w:id="123">
    <w:p w14:paraId="293A0FFF" w14:textId="77777777" w:rsidR="005579C3" w:rsidRPr="0046086B" w:rsidRDefault="005579C3" w:rsidP="0046086B">
      <w:pPr>
        <w:pStyle w:val="Textonotapie"/>
        <w:tabs>
          <w:tab w:val="left" w:pos="567"/>
          <w:tab w:val="left" w:pos="709"/>
        </w:tabs>
        <w:rPr>
          <w:color w:val="000000" w:themeColor="text1"/>
          <w:sz w:val="16"/>
          <w:szCs w:val="16"/>
          <w:lang w:val="es-ES"/>
        </w:rPr>
      </w:pPr>
      <w:r w:rsidRPr="0046086B">
        <w:rPr>
          <w:rStyle w:val="Refdenotaalpie"/>
          <w:rFonts w:eastAsia="MS Mincho"/>
          <w:color w:val="000000" w:themeColor="text1"/>
          <w:sz w:val="16"/>
          <w:szCs w:val="16"/>
        </w:rPr>
        <w:footnoteRef/>
      </w:r>
      <w:r w:rsidRPr="0046086B">
        <w:rPr>
          <w:color w:val="000000" w:themeColor="text1"/>
          <w:sz w:val="16"/>
          <w:szCs w:val="16"/>
          <w:lang w:val="es-ES"/>
        </w:rPr>
        <w:t xml:space="preserve"> </w:t>
      </w:r>
      <w:r w:rsidRPr="0046086B">
        <w:rPr>
          <w:color w:val="000000" w:themeColor="text1"/>
          <w:sz w:val="16"/>
          <w:szCs w:val="16"/>
          <w:lang w:val="es-ES"/>
        </w:rPr>
        <w:tab/>
      </w:r>
      <w:r w:rsidRPr="0046086B">
        <w:rPr>
          <w:i/>
          <w:iCs/>
          <w:color w:val="000000" w:themeColor="text1"/>
          <w:sz w:val="16"/>
          <w:szCs w:val="16"/>
          <w:lang w:val="es-ES"/>
        </w:rPr>
        <w:t>Cfr</w:t>
      </w:r>
      <w:r w:rsidRPr="0046086B">
        <w:rPr>
          <w:color w:val="000000" w:themeColor="text1"/>
          <w:sz w:val="16"/>
          <w:szCs w:val="16"/>
          <w:lang w:val="es-ES"/>
        </w:rPr>
        <w:t xml:space="preserve">. </w:t>
      </w:r>
      <w:r w:rsidRPr="0046086B">
        <w:rPr>
          <w:i/>
          <w:iCs/>
          <w:color w:val="000000" w:themeColor="text1"/>
          <w:sz w:val="16"/>
          <w:szCs w:val="16"/>
          <w:lang w:val="es-ES"/>
        </w:rPr>
        <w:t>C</w:t>
      </w:r>
      <w:r w:rsidRPr="0046086B">
        <w:rPr>
          <w:i/>
          <w:iCs/>
          <w:color w:val="000000" w:themeColor="text1"/>
          <w:sz w:val="16"/>
          <w:szCs w:val="16"/>
          <w:lang w:val="es-ES" w:eastAsia="es-ES_tradnl"/>
        </w:rPr>
        <w:t xml:space="preserve">ondición jurídica y derechos de los migrantes indocumentados. </w:t>
      </w:r>
      <w:r w:rsidRPr="0046086B">
        <w:rPr>
          <w:color w:val="000000" w:themeColor="text1"/>
          <w:sz w:val="16"/>
          <w:szCs w:val="16"/>
          <w:lang w:val="es-ES" w:eastAsia="es-ES_tradnl"/>
        </w:rPr>
        <w:t>Opinión Consultiva OC-18/03 de 17 de septiembre de 2003. Serie A No. 18, párr. 121.</w:t>
      </w:r>
    </w:p>
  </w:footnote>
  <w:footnote w:id="124">
    <w:p w14:paraId="2A3FBEE6" w14:textId="77777777" w:rsidR="005579C3" w:rsidRPr="0046086B" w:rsidRDefault="005579C3" w:rsidP="0046086B">
      <w:pPr>
        <w:pStyle w:val="Textonotapie"/>
        <w:tabs>
          <w:tab w:val="left" w:pos="567"/>
          <w:tab w:val="left" w:pos="709"/>
        </w:tabs>
        <w:rPr>
          <w:sz w:val="16"/>
          <w:szCs w:val="16"/>
        </w:rPr>
      </w:pPr>
      <w:r w:rsidRPr="0046086B">
        <w:rPr>
          <w:rStyle w:val="Refdenotaalpie"/>
          <w:sz w:val="16"/>
          <w:szCs w:val="16"/>
        </w:rPr>
        <w:footnoteRef/>
      </w:r>
      <w:r w:rsidRPr="0046086B">
        <w:rPr>
          <w:sz w:val="16"/>
          <w:szCs w:val="16"/>
        </w:rPr>
        <w:t xml:space="preserve"> </w:t>
      </w:r>
      <w:r w:rsidRPr="0046086B">
        <w:rPr>
          <w:sz w:val="16"/>
          <w:szCs w:val="16"/>
        </w:rPr>
        <w:tab/>
      </w:r>
      <w:r w:rsidRPr="0046086B">
        <w:rPr>
          <w:i/>
          <w:iCs/>
          <w:sz w:val="16"/>
          <w:szCs w:val="16"/>
        </w:rPr>
        <w:t>Cfr</w:t>
      </w:r>
      <w:r w:rsidRPr="0046086B">
        <w:rPr>
          <w:sz w:val="16"/>
          <w:szCs w:val="16"/>
        </w:rPr>
        <w:t>. ACNUDH, Principios y Directrices recomendados sobre los derechos humanos en las fronteras internacionales, Principio no. 13.</w:t>
      </w:r>
    </w:p>
  </w:footnote>
  <w:footnote w:id="125">
    <w:p w14:paraId="623C9E7E" w14:textId="3540B535" w:rsidR="005579C3" w:rsidRPr="0046086B" w:rsidRDefault="005579C3" w:rsidP="0046086B">
      <w:pPr>
        <w:pStyle w:val="Textonotapie"/>
        <w:tabs>
          <w:tab w:val="left" w:pos="567"/>
          <w:tab w:val="left" w:pos="709"/>
        </w:tabs>
        <w:rPr>
          <w:sz w:val="16"/>
          <w:szCs w:val="16"/>
        </w:rPr>
      </w:pPr>
      <w:r w:rsidRPr="0046086B">
        <w:rPr>
          <w:rStyle w:val="Refdenotaalpie"/>
          <w:sz w:val="16"/>
          <w:szCs w:val="16"/>
        </w:rPr>
        <w:footnoteRef/>
      </w:r>
      <w:r w:rsidRPr="0046086B">
        <w:rPr>
          <w:sz w:val="16"/>
          <w:szCs w:val="16"/>
        </w:rPr>
        <w:t xml:space="preserve"> </w:t>
      </w:r>
      <w:r w:rsidRPr="0046086B">
        <w:rPr>
          <w:sz w:val="16"/>
          <w:szCs w:val="16"/>
        </w:rPr>
        <w:tab/>
      </w:r>
      <w:r w:rsidRPr="0046086B">
        <w:rPr>
          <w:i/>
          <w:iCs/>
          <w:sz w:val="16"/>
          <w:szCs w:val="16"/>
        </w:rPr>
        <w:t>Idem</w:t>
      </w:r>
      <w:r w:rsidRPr="0046086B">
        <w:rPr>
          <w:sz w:val="16"/>
          <w:szCs w:val="16"/>
        </w:rPr>
        <w:t>.</w:t>
      </w:r>
    </w:p>
  </w:footnote>
  <w:footnote w:id="126">
    <w:p w14:paraId="33AC636C" w14:textId="233EC3B7" w:rsidR="005579C3" w:rsidRPr="0046086B" w:rsidRDefault="005579C3" w:rsidP="0046086B">
      <w:pPr>
        <w:pStyle w:val="Textonotapie"/>
        <w:tabs>
          <w:tab w:val="left" w:pos="567"/>
          <w:tab w:val="left" w:pos="709"/>
        </w:tabs>
        <w:rPr>
          <w:color w:val="000000" w:themeColor="text1"/>
          <w:sz w:val="16"/>
          <w:szCs w:val="16"/>
          <w:lang w:val="es-ES"/>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iCs/>
          <w:color w:val="000000" w:themeColor="text1"/>
          <w:sz w:val="16"/>
          <w:szCs w:val="16"/>
        </w:rPr>
        <w:t xml:space="preserve">Cfr. </w:t>
      </w:r>
      <w:r w:rsidRPr="0046086B">
        <w:rPr>
          <w:i/>
          <w:noProof/>
          <w:color w:val="000000" w:themeColor="text1"/>
          <w:sz w:val="16"/>
          <w:szCs w:val="16"/>
        </w:rPr>
        <w:t>El derecho a la información sobre la asistencia consular en el marco de las garantías del debido proceso legal</w:t>
      </w:r>
      <w:r w:rsidRPr="0046086B">
        <w:rPr>
          <w:noProof/>
          <w:color w:val="000000" w:themeColor="text1"/>
          <w:sz w:val="16"/>
          <w:szCs w:val="16"/>
        </w:rPr>
        <w:t xml:space="preserve">, </w:t>
      </w:r>
      <w:r w:rsidRPr="0046086B">
        <w:rPr>
          <w:iCs/>
          <w:noProof/>
          <w:color w:val="000000" w:themeColor="text1"/>
          <w:sz w:val="16"/>
          <w:szCs w:val="16"/>
        </w:rPr>
        <w:t>Opinión Consultiva OC-16/99 de 1 de octubre de 1999. Serie A No. 16</w:t>
      </w:r>
      <w:r w:rsidRPr="0046086B">
        <w:rPr>
          <w:noProof/>
          <w:color w:val="000000" w:themeColor="text1"/>
          <w:sz w:val="16"/>
          <w:szCs w:val="16"/>
        </w:rPr>
        <w:t>, párrs. 117 y 119.</w:t>
      </w:r>
      <w:r w:rsidRPr="0046086B">
        <w:rPr>
          <w:b/>
          <w:bCs/>
          <w:noProof/>
          <w:color w:val="000000" w:themeColor="text1"/>
          <w:sz w:val="16"/>
          <w:szCs w:val="16"/>
        </w:rPr>
        <w:t xml:space="preserve"> </w:t>
      </w:r>
    </w:p>
  </w:footnote>
  <w:footnote w:id="127">
    <w:p w14:paraId="39BB25AD" w14:textId="77E63157" w:rsidR="005579C3" w:rsidRPr="0046086B" w:rsidRDefault="005579C3" w:rsidP="0046086B">
      <w:pPr>
        <w:pStyle w:val="Textonotapie"/>
        <w:tabs>
          <w:tab w:val="left" w:pos="567"/>
          <w:tab w:val="left" w:pos="709"/>
        </w:tabs>
        <w:rPr>
          <w:sz w:val="16"/>
          <w:szCs w:val="16"/>
        </w:rPr>
      </w:pPr>
      <w:r w:rsidRPr="0046086B">
        <w:rPr>
          <w:rStyle w:val="Refdenotaalpie"/>
          <w:b/>
          <w:bCs/>
          <w:sz w:val="16"/>
          <w:szCs w:val="16"/>
        </w:rPr>
        <w:footnoteRef/>
      </w:r>
      <w:r w:rsidRPr="0046086B">
        <w:rPr>
          <w:b/>
          <w:bCs/>
          <w:sz w:val="16"/>
          <w:szCs w:val="16"/>
        </w:rPr>
        <w:t xml:space="preserve"> </w:t>
      </w:r>
      <w:r w:rsidRPr="0046086B">
        <w:rPr>
          <w:b/>
          <w:bCs/>
          <w:sz w:val="16"/>
          <w:szCs w:val="16"/>
        </w:rPr>
        <w:tab/>
      </w:r>
      <w:r w:rsidRPr="0046086B">
        <w:rPr>
          <w:i/>
          <w:iCs/>
          <w:sz w:val="16"/>
          <w:szCs w:val="16"/>
        </w:rPr>
        <w:t>Cfr. Caso Vélez Loor Vs. Panamá. Excepciones Preliminares, Fondo, Reparaciones y Costas.</w:t>
      </w:r>
      <w:r w:rsidRPr="0046086B">
        <w:rPr>
          <w:sz w:val="16"/>
          <w:szCs w:val="16"/>
        </w:rPr>
        <w:t xml:space="preserve"> Sentencia de 23 de noviembre de 2010. Serie C No. 218, párr. 254.</w:t>
      </w:r>
    </w:p>
  </w:footnote>
  <w:footnote w:id="128">
    <w:p w14:paraId="33847C5C" w14:textId="77777777" w:rsidR="005579C3" w:rsidRPr="0046086B" w:rsidRDefault="005579C3" w:rsidP="0046086B">
      <w:pPr>
        <w:pStyle w:val="Textonotapie"/>
        <w:tabs>
          <w:tab w:val="left" w:pos="567"/>
          <w:tab w:val="left" w:pos="709"/>
        </w:tabs>
        <w:rPr>
          <w:color w:val="000000" w:themeColor="text1"/>
          <w:sz w:val="16"/>
          <w:szCs w:val="16"/>
          <w:lang w:val="es-ES"/>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iCs/>
          <w:color w:val="000000" w:themeColor="text1"/>
          <w:sz w:val="16"/>
          <w:szCs w:val="16"/>
        </w:rPr>
        <w:t xml:space="preserve">Cfr. </w:t>
      </w:r>
      <w:r w:rsidRPr="0046086B">
        <w:rPr>
          <w:i/>
          <w:noProof/>
          <w:color w:val="000000" w:themeColor="text1"/>
          <w:sz w:val="16"/>
          <w:szCs w:val="16"/>
        </w:rPr>
        <w:t>El derecho a la información sobre la asistencia consular en el marco de las garantías del debido proceso legal</w:t>
      </w:r>
      <w:r w:rsidRPr="0046086B">
        <w:rPr>
          <w:noProof/>
          <w:color w:val="000000" w:themeColor="text1"/>
          <w:sz w:val="16"/>
          <w:szCs w:val="16"/>
        </w:rPr>
        <w:t xml:space="preserve">, </w:t>
      </w:r>
      <w:r w:rsidRPr="0046086B">
        <w:rPr>
          <w:i/>
          <w:noProof/>
          <w:color w:val="000000" w:themeColor="text1"/>
          <w:sz w:val="16"/>
          <w:szCs w:val="16"/>
        </w:rPr>
        <w:t>supra</w:t>
      </w:r>
      <w:r w:rsidRPr="0046086B">
        <w:rPr>
          <w:noProof/>
          <w:color w:val="000000" w:themeColor="text1"/>
          <w:sz w:val="16"/>
          <w:szCs w:val="16"/>
        </w:rPr>
        <w:t>, párr. 117 y 119.</w:t>
      </w:r>
      <w:r w:rsidRPr="0046086B">
        <w:rPr>
          <w:b/>
          <w:bCs/>
          <w:noProof/>
          <w:color w:val="000000" w:themeColor="text1"/>
          <w:sz w:val="16"/>
          <w:szCs w:val="16"/>
        </w:rPr>
        <w:t xml:space="preserve"> </w:t>
      </w:r>
    </w:p>
  </w:footnote>
  <w:footnote w:id="129">
    <w:p w14:paraId="511AAE30" w14:textId="77777777" w:rsidR="005579C3" w:rsidRPr="0046086B" w:rsidRDefault="005579C3" w:rsidP="0046086B">
      <w:pPr>
        <w:pStyle w:val="Textonotapie"/>
        <w:tabs>
          <w:tab w:val="left" w:pos="567"/>
        </w:tabs>
        <w:rPr>
          <w:sz w:val="16"/>
          <w:szCs w:val="16"/>
        </w:rPr>
      </w:pPr>
      <w:r w:rsidRPr="0046086B">
        <w:rPr>
          <w:rStyle w:val="Refdenotaalpie"/>
          <w:sz w:val="16"/>
          <w:szCs w:val="16"/>
        </w:rPr>
        <w:footnoteRef/>
      </w:r>
      <w:r w:rsidRPr="0046086B">
        <w:rPr>
          <w:sz w:val="16"/>
          <w:szCs w:val="16"/>
        </w:rPr>
        <w:t xml:space="preserve"> </w:t>
      </w:r>
      <w:r w:rsidRPr="0046086B">
        <w:rPr>
          <w:sz w:val="16"/>
          <w:szCs w:val="16"/>
        </w:rPr>
        <w:tab/>
      </w:r>
      <w:r w:rsidRPr="0046086B">
        <w:rPr>
          <w:i/>
          <w:iCs/>
          <w:sz w:val="16"/>
          <w:szCs w:val="16"/>
        </w:rPr>
        <w:t>Cfr</w:t>
      </w:r>
      <w:r w:rsidRPr="0046086B">
        <w:rPr>
          <w:sz w:val="16"/>
          <w:szCs w:val="16"/>
        </w:rPr>
        <w:t xml:space="preserve">. </w:t>
      </w:r>
      <w:r w:rsidRPr="0046086B">
        <w:rPr>
          <w:rFonts w:eastAsiaTheme="minorHAnsi" w:cstheme="minorBidi"/>
          <w:i/>
          <w:sz w:val="16"/>
          <w:szCs w:val="16"/>
          <w:lang w:val="es-CR" w:eastAsia="en-US"/>
        </w:rPr>
        <w:t xml:space="preserve">Caso V.R.P., V.P.C. y otros Vs. Nicaragua. </w:t>
      </w:r>
      <w:r w:rsidRPr="0046086B">
        <w:rPr>
          <w:rFonts w:eastAsiaTheme="minorHAnsi" w:cstheme="minorBidi"/>
          <w:i/>
          <w:iCs/>
          <w:sz w:val="16"/>
          <w:szCs w:val="16"/>
          <w:lang w:val="es-CR" w:eastAsia="en-US"/>
        </w:rPr>
        <w:t>Excepciones Preliminares, Fondo, Reparaciones y Costas.</w:t>
      </w:r>
      <w:r w:rsidRPr="0046086B">
        <w:rPr>
          <w:rFonts w:eastAsiaTheme="minorHAnsi" w:cstheme="minorBidi"/>
          <w:iCs/>
          <w:sz w:val="16"/>
          <w:szCs w:val="16"/>
          <w:lang w:val="es-CR" w:eastAsia="en-US"/>
        </w:rPr>
        <w:t xml:space="preserve"> Sentencia de 8 de marzo de 2018. Serie C No. 35</w:t>
      </w:r>
      <w:r w:rsidRPr="0046086B">
        <w:rPr>
          <w:rFonts w:eastAsiaTheme="minorHAnsi" w:cstheme="minorBidi"/>
          <w:i/>
          <w:sz w:val="16"/>
          <w:szCs w:val="16"/>
          <w:lang w:val="es-CR" w:eastAsia="en-US"/>
        </w:rPr>
        <w:t>.</w:t>
      </w:r>
    </w:p>
  </w:footnote>
  <w:footnote w:id="130">
    <w:p w14:paraId="1C2B00D3" w14:textId="77777777" w:rsidR="005579C3" w:rsidRPr="0046086B" w:rsidRDefault="005579C3" w:rsidP="0046086B">
      <w:pPr>
        <w:pStyle w:val="Textonotapie"/>
        <w:tabs>
          <w:tab w:val="left" w:pos="567"/>
        </w:tabs>
        <w:rPr>
          <w:sz w:val="16"/>
          <w:szCs w:val="16"/>
          <w:lang w:val="es-CR"/>
        </w:rPr>
      </w:pPr>
      <w:r w:rsidRPr="0046086B">
        <w:rPr>
          <w:rStyle w:val="Refdenotaalpie"/>
          <w:rFonts w:eastAsia="Verdana"/>
          <w:sz w:val="16"/>
          <w:szCs w:val="16"/>
        </w:rPr>
        <w:footnoteRef/>
      </w:r>
      <w:r w:rsidRPr="0046086B">
        <w:rPr>
          <w:sz w:val="16"/>
          <w:szCs w:val="16"/>
          <w:lang w:val="es-AR"/>
        </w:rPr>
        <w:t xml:space="preserve"> </w:t>
      </w:r>
      <w:r w:rsidRPr="0046086B">
        <w:rPr>
          <w:sz w:val="16"/>
          <w:szCs w:val="16"/>
          <w:lang w:val="es-AR"/>
        </w:rPr>
        <w:tab/>
      </w:r>
      <w:r w:rsidRPr="0046086B">
        <w:rPr>
          <w:i/>
          <w:iCs/>
          <w:sz w:val="16"/>
          <w:szCs w:val="16"/>
        </w:rPr>
        <w:t>Cfr</w:t>
      </w:r>
      <w:r w:rsidRPr="0046086B">
        <w:rPr>
          <w:sz w:val="16"/>
          <w:szCs w:val="16"/>
        </w:rPr>
        <w:t xml:space="preserve">. </w:t>
      </w:r>
      <w:r w:rsidRPr="0046086B">
        <w:rPr>
          <w:rFonts w:eastAsiaTheme="minorHAnsi" w:cstheme="minorBidi"/>
          <w:i/>
          <w:sz w:val="16"/>
          <w:szCs w:val="16"/>
          <w:lang w:val="es-CR" w:eastAsia="en-US"/>
        </w:rPr>
        <w:t xml:space="preserve">Caso V.R.P., V.P.C. y otros Vs. Nicaragua, supra, </w:t>
      </w:r>
      <w:r w:rsidRPr="0046086B">
        <w:rPr>
          <w:rFonts w:eastAsiaTheme="minorHAnsi" w:cstheme="minorBidi"/>
          <w:iCs/>
          <w:sz w:val="16"/>
          <w:szCs w:val="16"/>
          <w:lang w:val="es-CR" w:eastAsia="en-US"/>
        </w:rPr>
        <w:t xml:space="preserve">párr. 263. </w:t>
      </w:r>
      <w:r w:rsidRPr="0046086B">
        <w:rPr>
          <w:iCs/>
          <w:sz w:val="16"/>
          <w:szCs w:val="16"/>
          <w:lang w:val="es-CR"/>
        </w:rPr>
        <w:t>Ver también</w:t>
      </w:r>
      <w:r w:rsidRPr="0046086B">
        <w:rPr>
          <w:i/>
          <w:sz w:val="16"/>
          <w:szCs w:val="16"/>
          <w:lang w:val="es-CR"/>
        </w:rPr>
        <w:t xml:space="preserve">, </w:t>
      </w:r>
      <w:r w:rsidRPr="0046086B">
        <w:rPr>
          <w:sz w:val="16"/>
          <w:szCs w:val="16"/>
          <w:lang w:val="es-CR"/>
        </w:rPr>
        <w:t xml:space="preserve">TEDH, </w:t>
      </w:r>
      <w:r w:rsidRPr="0046086B">
        <w:rPr>
          <w:i/>
          <w:sz w:val="16"/>
          <w:szCs w:val="16"/>
          <w:lang w:val="es-CR"/>
        </w:rPr>
        <w:t>Caso</w:t>
      </w:r>
      <w:r w:rsidRPr="0046086B">
        <w:rPr>
          <w:sz w:val="16"/>
          <w:szCs w:val="16"/>
          <w:lang w:val="es-CR"/>
        </w:rPr>
        <w:t xml:space="preserve"> </w:t>
      </w:r>
      <w:r w:rsidRPr="0046086B">
        <w:rPr>
          <w:i/>
          <w:sz w:val="16"/>
          <w:szCs w:val="16"/>
          <w:lang w:val="es-CR" w:eastAsia="en-US"/>
        </w:rPr>
        <w:t>Taxquet Vs. Bélgica</w:t>
      </w:r>
      <w:r w:rsidRPr="0046086B" w:rsidDel="00FD5E2A">
        <w:rPr>
          <w:sz w:val="16"/>
          <w:szCs w:val="16"/>
          <w:lang w:val="es-CR"/>
        </w:rPr>
        <w:t xml:space="preserve"> </w:t>
      </w:r>
      <w:r w:rsidRPr="0046086B">
        <w:rPr>
          <w:sz w:val="16"/>
          <w:szCs w:val="16"/>
          <w:lang w:val="es-CR"/>
        </w:rPr>
        <w:t>[GS]</w:t>
      </w:r>
      <w:r w:rsidRPr="0046086B">
        <w:rPr>
          <w:sz w:val="16"/>
          <w:szCs w:val="16"/>
        </w:rPr>
        <w:t>, No. 926/05. Sentencia de 16 de noviembre de 2010</w:t>
      </w:r>
      <w:r w:rsidRPr="0046086B">
        <w:rPr>
          <w:sz w:val="16"/>
          <w:szCs w:val="16"/>
          <w:lang w:val="es-CR"/>
        </w:rPr>
        <w:t>, párrs. 90 a 92.</w:t>
      </w:r>
    </w:p>
  </w:footnote>
  <w:footnote w:id="131">
    <w:p w14:paraId="1A8E75DF" w14:textId="308464FB" w:rsidR="005579C3" w:rsidRPr="0046086B" w:rsidRDefault="005579C3" w:rsidP="0046086B">
      <w:pPr>
        <w:pStyle w:val="Textonotapie"/>
        <w:tabs>
          <w:tab w:val="left" w:pos="567"/>
        </w:tabs>
        <w:rPr>
          <w:rStyle w:val="Refdenotaalpie"/>
          <w:color w:val="000000" w:themeColor="text1"/>
          <w:sz w:val="16"/>
          <w:szCs w:val="16"/>
        </w:rPr>
      </w:pPr>
      <w:r w:rsidRPr="0046086B">
        <w:rPr>
          <w:rStyle w:val="Refdenotaalpie"/>
          <w:color w:val="000000" w:themeColor="text1"/>
          <w:sz w:val="16"/>
          <w:szCs w:val="16"/>
        </w:rPr>
        <w:footnoteRef/>
      </w:r>
      <w:r w:rsidRPr="0046086B">
        <w:rPr>
          <w:rStyle w:val="Refdenotaalpie"/>
          <w:color w:val="000000" w:themeColor="text1"/>
          <w:sz w:val="16"/>
          <w:szCs w:val="16"/>
        </w:rPr>
        <w:t xml:space="preserve"> </w:t>
      </w:r>
      <w:r w:rsidRPr="0046086B">
        <w:rPr>
          <w:rStyle w:val="Refdenotaalpie"/>
          <w:color w:val="000000" w:themeColor="text1"/>
          <w:sz w:val="16"/>
          <w:szCs w:val="16"/>
        </w:rPr>
        <w:tab/>
      </w:r>
      <w:r w:rsidRPr="0046086B">
        <w:rPr>
          <w:rStyle w:val="Refdenotaalpie"/>
          <w:color w:val="000000" w:themeColor="text1"/>
          <w:sz w:val="16"/>
          <w:szCs w:val="16"/>
          <w:vertAlign w:val="baseline"/>
        </w:rPr>
        <w:t>Artículo 5 de la Convención Americana</w:t>
      </w:r>
      <w:r w:rsidRPr="0046086B">
        <w:rPr>
          <w:color w:val="000000" w:themeColor="text1"/>
          <w:sz w:val="16"/>
          <w:szCs w:val="16"/>
        </w:rPr>
        <w:t xml:space="preserve"> sobre Derechos Humanos</w:t>
      </w:r>
      <w:r w:rsidRPr="0046086B">
        <w:rPr>
          <w:rStyle w:val="Refdenotaalpie"/>
          <w:color w:val="000000" w:themeColor="text1"/>
          <w:sz w:val="16"/>
          <w:szCs w:val="16"/>
          <w:vertAlign w:val="baseline"/>
        </w:rPr>
        <w:t>.</w:t>
      </w:r>
    </w:p>
  </w:footnote>
  <w:footnote w:id="132">
    <w:p w14:paraId="002E54FE" w14:textId="21732B15" w:rsidR="005579C3" w:rsidRPr="0046086B" w:rsidRDefault="005579C3" w:rsidP="0046086B">
      <w:pPr>
        <w:pStyle w:val="Textonotapie"/>
        <w:tabs>
          <w:tab w:val="left" w:pos="567"/>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 xml:space="preserve">Cfr. </w:t>
      </w:r>
      <w:r w:rsidRPr="0046086B">
        <w:rPr>
          <w:rFonts w:cs="Courier New"/>
          <w:i/>
          <w:color w:val="000000" w:themeColor="text1"/>
          <w:sz w:val="16"/>
          <w:szCs w:val="16"/>
        </w:rPr>
        <w:t>Caso de los “Niños de la Calle” (Villagrán Morales y otros) Vs. Guatemala</w:t>
      </w:r>
      <w:r w:rsidRPr="0046086B">
        <w:rPr>
          <w:color w:val="000000" w:themeColor="text1"/>
          <w:sz w:val="16"/>
          <w:szCs w:val="16"/>
          <w:lang w:val="es-ES"/>
        </w:rPr>
        <w:t xml:space="preserve">, </w:t>
      </w:r>
      <w:r w:rsidRPr="0046086B">
        <w:rPr>
          <w:i/>
          <w:color w:val="000000" w:themeColor="text1"/>
          <w:sz w:val="16"/>
          <w:szCs w:val="16"/>
          <w:lang w:val="es-ES"/>
        </w:rPr>
        <w:t>supra</w:t>
      </w:r>
      <w:r w:rsidRPr="0046086B">
        <w:rPr>
          <w:color w:val="000000" w:themeColor="text1"/>
          <w:sz w:val="16"/>
          <w:szCs w:val="16"/>
          <w:lang w:val="es-ES"/>
        </w:rPr>
        <w:t xml:space="preserve">, </w:t>
      </w:r>
      <w:r w:rsidRPr="0046086B">
        <w:rPr>
          <w:color w:val="000000" w:themeColor="text1"/>
          <w:sz w:val="16"/>
          <w:szCs w:val="16"/>
        </w:rPr>
        <w:t xml:space="preserve">párr. 176, y </w:t>
      </w:r>
      <w:r w:rsidRPr="0046086B">
        <w:rPr>
          <w:i/>
          <w:color w:val="000000" w:themeColor="text1"/>
          <w:sz w:val="16"/>
          <w:szCs w:val="16"/>
        </w:rPr>
        <w:t>Caso Diaz Loreto y otros Vs. Venezuela, supra</w:t>
      </w:r>
      <w:r w:rsidRPr="0046086B">
        <w:rPr>
          <w:rFonts w:cs="Courier New"/>
          <w:color w:val="000000" w:themeColor="text1"/>
          <w:sz w:val="16"/>
          <w:szCs w:val="16"/>
        </w:rPr>
        <w:t xml:space="preserve">, </w:t>
      </w:r>
      <w:r w:rsidRPr="0046086B">
        <w:rPr>
          <w:color w:val="000000" w:themeColor="text1"/>
          <w:sz w:val="16"/>
          <w:szCs w:val="16"/>
        </w:rPr>
        <w:t>párr. 136.</w:t>
      </w:r>
    </w:p>
  </w:footnote>
  <w:footnote w:id="133">
    <w:p w14:paraId="0C7F3BB0" w14:textId="4C0B36E5" w:rsidR="005579C3" w:rsidRPr="0046086B" w:rsidRDefault="005579C3" w:rsidP="0046086B">
      <w:pPr>
        <w:pStyle w:val="Textonotapie"/>
        <w:tabs>
          <w:tab w:val="left" w:pos="567"/>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 Caso Blake Vs. Guatemala</w:t>
      </w:r>
      <w:r w:rsidRPr="0046086B">
        <w:rPr>
          <w:color w:val="000000" w:themeColor="text1"/>
          <w:sz w:val="16"/>
          <w:szCs w:val="16"/>
          <w:lang w:val="es-ES"/>
        </w:rPr>
        <w:t xml:space="preserve">. </w:t>
      </w:r>
      <w:r w:rsidRPr="0046086B">
        <w:rPr>
          <w:rStyle w:val="Textoennegrita"/>
          <w:rFonts w:eastAsia="MS Mincho"/>
          <w:b w:val="0"/>
          <w:i/>
          <w:color w:val="000000"/>
          <w:sz w:val="16"/>
          <w:szCs w:val="16"/>
          <w:shd w:val="clear" w:color="auto" w:fill="FFFFFF"/>
        </w:rPr>
        <w:t>Fondo.</w:t>
      </w:r>
      <w:r w:rsidRPr="0046086B">
        <w:rPr>
          <w:rStyle w:val="Textoennegrita"/>
          <w:rFonts w:eastAsia="MS Mincho"/>
          <w:b w:val="0"/>
          <w:color w:val="000000"/>
          <w:sz w:val="16"/>
          <w:szCs w:val="16"/>
          <w:shd w:val="clear" w:color="auto" w:fill="FFFFFF"/>
        </w:rPr>
        <w:t xml:space="preserve"> Sentencia de 24 de enero de 1998. Serie C No. 36,</w:t>
      </w:r>
      <w:r w:rsidRPr="0046086B">
        <w:rPr>
          <w:color w:val="000000" w:themeColor="text1"/>
          <w:sz w:val="16"/>
          <w:szCs w:val="16"/>
          <w:lang w:val="es-ES"/>
        </w:rPr>
        <w:t xml:space="preserve"> </w:t>
      </w:r>
      <w:r w:rsidRPr="0046086B">
        <w:rPr>
          <w:color w:val="000000" w:themeColor="text1"/>
          <w:sz w:val="16"/>
          <w:szCs w:val="16"/>
        </w:rPr>
        <w:t xml:space="preserve">párr. 114, y </w:t>
      </w:r>
      <w:r w:rsidRPr="0046086B">
        <w:rPr>
          <w:i/>
          <w:color w:val="000000" w:themeColor="text1"/>
          <w:sz w:val="16"/>
          <w:szCs w:val="16"/>
        </w:rPr>
        <w:t xml:space="preserve">Caso </w:t>
      </w:r>
      <w:r w:rsidRPr="0046086B">
        <w:rPr>
          <w:rStyle w:val="Textoennegrita"/>
          <w:rFonts w:eastAsia="MS Mincho"/>
          <w:b w:val="0"/>
          <w:i/>
          <w:color w:val="000000"/>
          <w:sz w:val="16"/>
          <w:szCs w:val="16"/>
          <w:shd w:val="clear" w:color="auto" w:fill="FFFFFF"/>
        </w:rPr>
        <w:t>Ruiz Fuentes y otra Vs. Guatemala. Excepción Preliminar, Fondo, Reparaciones y Costas.</w:t>
      </w:r>
      <w:r w:rsidRPr="0046086B">
        <w:rPr>
          <w:rStyle w:val="Textoennegrita"/>
          <w:rFonts w:eastAsia="MS Mincho"/>
          <w:b w:val="0"/>
          <w:color w:val="000000"/>
          <w:sz w:val="16"/>
          <w:szCs w:val="16"/>
          <w:shd w:val="clear" w:color="auto" w:fill="FFFFFF"/>
        </w:rPr>
        <w:t xml:space="preserve"> Sentencia de 10 de octubre de 2019. Serie C No. 385</w:t>
      </w:r>
      <w:r w:rsidRPr="0046086B">
        <w:rPr>
          <w:color w:val="000000" w:themeColor="text1"/>
          <w:sz w:val="16"/>
          <w:szCs w:val="16"/>
          <w:lang w:val="es-ES"/>
        </w:rPr>
        <w:t xml:space="preserve">, </w:t>
      </w:r>
      <w:r w:rsidRPr="0046086B">
        <w:rPr>
          <w:color w:val="000000" w:themeColor="text1"/>
          <w:sz w:val="16"/>
          <w:szCs w:val="16"/>
        </w:rPr>
        <w:t>párr. 188.</w:t>
      </w:r>
    </w:p>
  </w:footnote>
  <w:footnote w:id="134">
    <w:p w14:paraId="08219740" w14:textId="15021321" w:rsidR="005579C3" w:rsidRPr="0046086B" w:rsidRDefault="005579C3" w:rsidP="0046086B">
      <w:pPr>
        <w:pStyle w:val="Textonotapie"/>
        <w:tabs>
          <w:tab w:val="left" w:pos="567"/>
        </w:tabs>
        <w:rPr>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ab/>
      </w:r>
      <w:r w:rsidRPr="0046086B">
        <w:rPr>
          <w:rFonts w:eastAsiaTheme="minorEastAsia" w:cstheme="minorBidi"/>
          <w:i/>
          <w:color w:val="000000" w:themeColor="text1"/>
          <w:sz w:val="16"/>
          <w:szCs w:val="16"/>
          <w:lang w:eastAsia="es-PE"/>
        </w:rPr>
        <w:t xml:space="preserve">Cfr. Caso Bámaca Velásquez Vs. Guatemala. Fondo. </w:t>
      </w:r>
      <w:r w:rsidRPr="0046086B">
        <w:rPr>
          <w:rFonts w:eastAsiaTheme="minorEastAsia" w:cstheme="minorBidi"/>
          <w:iCs/>
          <w:color w:val="000000" w:themeColor="text1"/>
          <w:sz w:val="16"/>
          <w:szCs w:val="16"/>
          <w:lang w:eastAsia="es-PE"/>
        </w:rPr>
        <w:t>Sentencia de 25 de noviembre de 2000. Serie C No. 70</w:t>
      </w:r>
      <w:r w:rsidRPr="0046086B">
        <w:rPr>
          <w:rFonts w:eastAsiaTheme="minorEastAsia" w:cstheme="minorBidi"/>
          <w:i/>
          <w:color w:val="000000" w:themeColor="text1"/>
          <w:sz w:val="16"/>
          <w:szCs w:val="16"/>
          <w:lang w:eastAsia="es-PE"/>
        </w:rPr>
        <w:t xml:space="preserve">, </w:t>
      </w:r>
      <w:r w:rsidRPr="0046086B">
        <w:rPr>
          <w:rFonts w:eastAsiaTheme="minorEastAsia" w:cstheme="minorBidi"/>
          <w:color w:val="000000" w:themeColor="text1"/>
          <w:sz w:val="16"/>
          <w:szCs w:val="16"/>
          <w:lang w:eastAsia="es-PE"/>
        </w:rPr>
        <w:t xml:space="preserve">párr. 163, y </w:t>
      </w:r>
      <w:r w:rsidRPr="0046086B">
        <w:rPr>
          <w:i/>
          <w:color w:val="000000" w:themeColor="text1"/>
          <w:sz w:val="16"/>
          <w:szCs w:val="16"/>
        </w:rPr>
        <w:t>Caso Ruíz Fuentes y otra Vs. Guatemala</w:t>
      </w:r>
      <w:r w:rsidRPr="0046086B">
        <w:rPr>
          <w:color w:val="000000" w:themeColor="text1"/>
          <w:sz w:val="16"/>
          <w:szCs w:val="16"/>
          <w:lang w:val="es-ES"/>
        </w:rPr>
        <w:t xml:space="preserve">, </w:t>
      </w:r>
      <w:r w:rsidRPr="0046086B">
        <w:rPr>
          <w:i/>
          <w:color w:val="000000" w:themeColor="text1"/>
          <w:sz w:val="16"/>
          <w:szCs w:val="16"/>
          <w:lang w:val="es-ES"/>
        </w:rPr>
        <w:t>supra</w:t>
      </w:r>
      <w:r w:rsidRPr="0046086B">
        <w:rPr>
          <w:color w:val="000000" w:themeColor="text1"/>
          <w:sz w:val="16"/>
          <w:szCs w:val="16"/>
          <w:lang w:val="es-ES"/>
        </w:rPr>
        <w:t xml:space="preserve">, </w:t>
      </w:r>
      <w:r w:rsidRPr="0046086B">
        <w:rPr>
          <w:color w:val="000000" w:themeColor="text1"/>
          <w:sz w:val="16"/>
          <w:szCs w:val="16"/>
        </w:rPr>
        <w:t>párr. 188.</w:t>
      </w:r>
    </w:p>
  </w:footnote>
  <w:footnote w:id="135">
    <w:p w14:paraId="51181EC7" w14:textId="002CBE19" w:rsidR="005579C3" w:rsidRPr="0046086B" w:rsidRDefault="005579C3" w:rsidP="0046086B">
      <w:pPr>
        <w:pStyle w:val="Textonotapie"/>
        <w:tabs>
          <w:tab w:val="left" w:pos="567"/>
        </w:tabs>
        <w:rPr>
          <w:sz w:val="16"/>
          <w:szCs w:val="16"/>
          <w:lang w:val="es-ES"/>
        </w:rPr>
      </w:pPr>
      <w:r w:rsidRPr="0046086B">
        <w:rPr>
          <w:rStyle w:val="Refdenotaalpie"/>
          <w:sz w:val="16"/>
          <w:szCs w:val="16"/>
        </w:rPr>
        <w:footnoteRef/>
      </w:r>
      <w:r w:rsidRPr="0046086B">
        <w:rPr>
          <w:sz w:val="16"/>
          <w:szCs w:val="16"/>
        </w:rPr>
        <w:t xml:space="preserve"> </w:t>
      </w:r>
      <w:r w:rsidRPr="0046086B">
        <w:rPr>
          <w:sz w:val="16"/>
          <w:szCs w:val="16"/>
        </w:rPr>
        <w:tab/>
      </w:r>
      <w:r w:rsidRPr="0046086B">
        <w:rPr>
          <w:i/>
          <w:color w:val="000000" w:themeColor="text1"/>
          <w:sz w:val="16"/>
          <w:szCs w:val="16"/>
        </w:rPr>
        <w:t>Cfr</w:t>
      </w:r>
      <w:r w:rsidRPr="0046086B">
        <w:rPr>
          <w:color w:val="000000" w:themeColor="text1"/>
          <w:sz w:val="16"/>
          <w:szCs w:val="16"/>
        </w:rPr>
        <w:t xml:space="preserve">. </w:t>
      </w:r>
      <w:r w:rsidRPr="0046086B">
        <w:rPr>
          <w:rFonts w:cs="Calibri"/>
          <w:color w:val="000000" w:themeColor="text1"/>
          <w:sz w:val="16"/>
          <w:szCs w:val="16"/>
          <w:lang w:val="es-CR" w:eastAsia="en-US"/>
        </w:rPr>
        <w:t>Declaración de María Angelita Azaña Tenesaca en la Audiencia Pública celebrada ante esta Corte el 4 de febrero de 2020.</w:t>
      </w:r>
    </w:p>
  </w:footnote>
  <w:footnote w:id="136">
    <w:p w14:paraId="15438AA6" w14:textId="77777777" w:rsidR="005579C3" w:rsidRPr="0046086B" w:rsidRDefault="005579C3" w:rsidP="0046086B">
      <w:pPr>
        <w:pStyle w:val="Textonotapie"/>
        <w:tabs>
          <w:tab w:val="left" w:pos="567"/>
        </w:tabs>
        <w:rPr>
          <w:sz w:val="16"/>
          <w:szCs w:val="16"/>
          <w:lang w:val="es-ES"/>
        </w:rPr>
      </w:pPr>
      <w:r w:rsidRPr="0046086B">
        <w:rPr>
          <w:rStyle w:val="Refdenotaalpie"/>
          <w:sz w:val="16"/>
          <w:szCs w:val="16"/>
        </w:rPr>
        <w:footnoteRef/>
      </w:r>
      <w:r w:rsidRPr="0046086B">
        <w:rPr>
          <w:sz w:val="16"/>
          <w:szCs w:val="16"/>
        </w:rPr>
        <w:t xml:space="preserve"> </w:t>
      </w:r>
      <w:r w:rsidRPr="0046086B">
        <w:rPr>
          <w:sz w:val="16"/>
          <w:szCs w:val="16"/>
        </w:rPr>
        <w:tab/>
      </w:r>
      <w:r w:rsidRPr="0046086B">
        <w:rPr>
          <w:i/>
          <w:color w:val="000000" w:themeColor="text1"/>
          <w:sz w:val="16"/>
          <w:szCs w:val="16"/>
        </w:rPr>
        <w:t>Cfr</w:t>
      </w:r>
      <w:r w:rsidRPr="0046086B">
        <w:rPr>
          <w:color w:val="000000" w:themeColor="text1"/>
          <w:sz w:val="16"/>
          <w:szCs w:val="16"/>
        </w:rPr>
        <w:t xml:space="preserve">. </w:t>
      </w:r>
      <w:r w:rsidRPr="0046086B">
        <w:rPr>
          <w:rFonts w:cs="Calibri"/>
          <w:color w:val="000000" w:themeColor="text1"/>
          <w:sz w:val="16"/>
          <w:szCs w:val="16"/>
          <w:lang w:val="es-CR" w:eastAsia="en-US"/>
        </w:rPr>
        <w:t>Declaración de Patricio Fernando Roche Azaña en la Audiencia Pública celebrada ante esta Corte el 4 de febrero de 2020.</w:t>
      </w:r>
    </w:p>
  </w:footnote>
  <w:footnote w:id="137">
    <w:p w14:paraId="79B62E7B" w14:textId="3550DF88" w:rsidR="005579C3" w:rsidRPr="0046086B" w:rsidRDefault="005579C3" w:rsidP="0046086B">
      <w:pPr>
        <w:pStyle w:val="Textonotapie"/>
        <w:tabs>
          <w:tab w:val="left" w:pos="567"/>
        </w:tabs>
        <w:rPr>
          <w:color w:val="000000" w:themeColor="text1"/>
          <w:sz w:val="16"/>
          <w:szCs w:val="16"/>
          <w:lang w:eastAsia="es-PE"/>
        </w:rPr>
      </w:pPr>
      <w:r w:rsidRPr="0046086B">
        <w:rPr>
          <w:rStyle w:val="Refdenotaalpie"/>
          <w:rFonts w:eastAsia="Calibri"/>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lang w:eastAsia="es-PE"/>
        </w:rPr>
        <w:t>Cfr. Caso Velásquez Rodríguez Vs. Honduras. Reparaciones y Costas</w:t>
      </w:r>
      <w:r w:rsidRPr="0046086B">
        <w:rPr>
          <w:color w:val="000000" w:themeColor="text1"/>
          <w:sz w:val="16"/>
          <w:szCs w:val="16"/>
          <w:lang w:eastAsia="es-PE"/>
        </w:rPr>
        <w:t xml:space="preserve">. Sentencia de 21 de julio de 1989. Serie C No. 7, párr. 25, y </w:t>
      </w:r>
      <w:r w:rsidRPr="0046086B">
        <w:rPr>
          <w:rStyle w:val="Textoennegrita"/>
          <w:rFonts w:eastAsia="MS Mincho"/>
          <w:b w:val="0"/>
          <w:i/>
          <w:color w:val="000000"/>
          <w:sz w:val="16"/>
          <w:szCs w:val="16"/>
          <w:shd w:val="clear" w:color="auto" w:fill="FFFFFF"/>
        </w:rPr>
        <w:t>Caso Azul Rojas Marín y otra Vs. Perú, supra</w:t>
      </w:r>
      <w:r w:rsidRPr="0046086B">
        <w:rPr>
          <w:color w:val="000000" w:themeColor="text1"/>
          <w:sz w:val="16"/>
          <w:szCs w:val="16"/>
          <w:lang w:eastAsia="es-PE"/>
        </w:rPr>
        <w:t>,</w:t>
      </w:r>
      <w:r w:rsidRPr="0046086B">
        <w:rPr>
          <w:i/>
          <w:color w:val="000000" w:themeColor="text1"/>
          <w:sz w:val="16"/>
          <w:szCs w:val="16"/>
          <w:lang w:eastAsia="es-PE"/>
        </w:rPr>
        <w:t xml:space="preserve"> </w:t>
      </w:r>
      <w:r w:rsidRPr="0046086B">
        <w:rPr>
          <w:color w:val="000000" w:themeColor="text1"/>
          <w:sz w:val="16"/>
          <w:szCs w:val="16"/>
          <w:lang w:eastAsia="es-PE"/>
        </w:rPr>
        <w:t>párr. 224.</w:t>
      </w:r>
    </w:p>
  </w:footnote>
  <w:footnote w:id="138">
    <w:p w14:paraId="5D221766" w14:textId="365E2CFD" w:rsidR="005579C3" w:rsidRPr="0046086B" w:rsidRDefault="005579C3" w:rsidP="0046086B">
      <w:pPr>
        <w:pStyle w:val="Textonotapie"/>
        <w:tabs>
          <w:tab w:val="left" w:pos="567"/>
        </w:tabs>
        <w:rPr>
          <w:color w:val="000000" w:themeColor="text1"/>
          <w:sz w:val="16"/>
          <w:szCs w:val="16"/>
          <w:lang w:eastAsia="es-PE"/>
        </w:rPr>
      </w:pPr>
      <w:r w:rsidRPr="0046086B">
        <w:rPr>
          <w:rStyle w:val="Refdenotaalpie"/>
          <w:rFonts w:eastAsia="MS Mincho"/>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lang w:eastAsia="es-PE"/>
        </w:rPr>
        <w:t>Cfr. Caso Velásquez Rodríguez Vs. Honduras</w:t>
      </w:r>
      <w:r w:rsidRPr="0046086B">
        <w:rPr>
          <w:color w:val="000000" w:themeColor="text1"/>
          <w:sz w:val="16"/>
          <w:szCs w:val="16"/>
          <w:lang w:eastAsia="es-PE"/>
        </w:rPr>
        <w:t xml:space="preserve">. Reparaciones y Costas, </w:t>
      </w:r>
      <w:r w:rsidRPr="0046086B">
        <w:rPr>
          <w:i/>
          <w:color w:val="000000" w:themeColor="text1"/>
          <w:sz w:val="16"/>
          <w:szCs w:val="16"/>
          <w:lang w:eastAsia="es-PE"/>
        </w:rPr>
        <w:t>supra</w:t>
      </w:r>
      <w:r w:rsidRPr="0046086B">
        <w:rPr>
          <w:color w:val="000000" w:themeColor="text1"/>
          <w:sz w:val="16"/>
          <w:szCs w:val="16"/>
          <w:lang w:eastAsia="es-PE"/>
        </w:rPr>
        <w:t xml:space="preserve">, párrs. 25 y 2, y </w:t>
      </w:r>
      <w:r w:rsidRPr="0046086B">
        <w:rPr>
          <w:rStyle w:val="Textoennegrita"/>
          <w:rFonts w:eastAsia="MS Mincho"/>
          <w:b w:val="0"/>
          <w:i/>
          <w:color w:val="000000"/>
          <w:sz w:val="16"/>
          <w:szCs w:val="16"/>
          <w:shd w:val="clear" w:color="auto" w:fill="FFFFFF"/>
        </w:rPr>
        <w:t>Caso Noguera y otra Vs. Paraguay. Fondo, Reparaciones y Costas.</w:t>
      </w:r>
      <w:r w:rsidRPr="0046086B">
        <w:rPr>
          <w:rStyle w:val="Textoennegrita"/>
          <w:rFonts w:eastAsia="MS Mincho"/>
          <w:b w:val="0"/>
          <w:color w:val="000000"/>
          <w:sz w:val="16"/>
          <w:szCs w:val="16"/>
          <w:shd w:val="clear" w:color="auto" w:fill="FFFFFF"/>
        </w:rPr>
        <w:t xml:space="preserve"> Sentencia de 9 de marzo de 2020. Serie C No. 401</w:t>
      </w:r>
      <w:r w:rsidRPr="0046086B">
        <w:rPr>
          <w:color w:val="000000" w:themeColor="text1"/>
          <w:sz w:val="16"/>
          <w:szCs w:val="16"/>
          <w:lang w:eastAsia="es-PE"/>
        </w:rPr>
        <w:t>,</w:t>
      </w:r>
      <w:r w:rsidRPr="0046086B">
        <w:rPr>
          <w:i/>
          <w:color w:val="000000" w:themeColor="text1"/>
          <w:sz w:val="16"/>
          <w:szCs w:val="16"/>
          <w:lang w:eastAsia="es-PE"/>
        </w:rPr>
        <w:t xml:space="preserve"> </w:t>
      </w:r>
      <w:r w:rsidRPr="0046086B">
        <w:rPr>
          <w:color w:val="000000" w:themeColor="text1"/>
          <w:sz w:val="16"/>
          <w:szCs w:val="16"/>
          <w:lang w:eastAsia="es-PE"/>
        </w:rPr>
        <w:t>párr. 88.</w:t>
      </w:r>
    </w:p>
  </w:footnote>
  <w:footnote w:id="139">
    <w:p w14:paraId="7FE8817D" w14:textId="320AEB84" w:rsidR="005579C3" w:rsidRPr="0046086B" w:rsidRDefault="005579C3" w:rsidP="0046086B">
      <w:pPr>
        <w:pStyle w:val="Textonotapie"/>
        <w:tabs>
          <w:tab w:val="left" w:pos="567"/>
        </w:tabs>
        <w:rPr>
          <w:rFonts w:cs="Courier New"/>
          <w:bCs/>
          <w:color w:val="000000" w:themeColor="text1"/>
          <w:sz w:val="16"/>
          <w:szCs w:val="16"/>
          <w:lang w:eastAsia="en-US"/>
        </w:rPr>
      </w:pPr>
      <w:r w:rsidRPr="0046086B">
        <w:rPr>
          <w:rStyle w:val="Refdenotaalpie"/>
          <w:rFonts w:eastAsia="Calibri"/>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w:t>
      </w:r>
      <w:r w:rsidRPr="0046086B">
        <w:rPr>
          <w:bCs/>
          <w:i/>
          <w:color w:val="000000" w:themeColor="text1"/>
          <w:sz w:val="16"/>
          <w:szCs w:val="16"/>
        </w:rPr>
        <w:t xml:space="preserve"> Caso de la Masacre de Las Dos Erres Vs. Guatemala. Excepción Preliminar, Fondo, Reparaciones y Costas. </w:t>
      </w:r>
      <w:r w:rsidRPr="0046086B">
        <w:rPr>
          <w:bCs/>
          <w:color w:val="000000" w:themeColor="text1"/>
          <w:sz w:val="16"/>
          <w:szCs w:val="16"/>
        </w:rPr>
        <w:t>Sentencia de 24 de noviembre de 2009. Serie C No. 211</w:t>
      </w:r>
      <w:r w:rsidRPr="0046086B">
        <w:rPr>
          <w:color w:val="000000" w:themeColor="text1"/>
          <w:sz w:val="16"/>
          <w:szCs w:val="16"/>
        </w:rPr>
        <w:t xml:space="preserve">, párr. 226, y </w:t>
      </w:r>
      <w:r w:rsidRPr="0046086B">
        <w:rPr>
          <w:i/>
          <w:color w:val="000000" w:themeColor="text1"/>
          <w:sz w:val="16"/>
          <w:szCs w:val="16"/>
          <w:lang w:eastAsia="es-PE"/>
        </w:rPr>
        <w:t>Caso Noguera y otra Vs. Paraguay, supra</w:t>
      </w:r>
      <w:r w:rsidRPr="0046086B">
        <w:rPr>
          <w:color w:val="000000" w:themeColor="text1"/>
          <w:sz w:val="16"/>
          <w:szCs w:val="16"/>
          <w:lang w:eastAsia="es-PE"/>
        </w:rPr>
        <w:t>,</w:t>
      </w:r>
      <w:r w:rsidRPr="0046086B">
        <w:rPr>
          <w:i/>
          <w:color w:val="000000" w:themeColor="text1"/>
          <w:sz w:val="16"/>
          <w:szCs w:val="16"/>
          <w:lang w:eastAsia="es-PE"/>
        </w:rPr>
        <w:t xml:space="preserve"> </w:t>
      </w:r>
      <w:r w:rsidRPr="0046086B">
        <w:rPr>
          <w:color w:val="000000" w:themeColor="text1"/>
          <w:sz w:val="16"/>
          <w:szCs w:val="16"/>
          <w:lang w:eastAsia="es-PE"/>
        </w:rPr>
        <w:t>párr. 88.</w:t>
      </w:r>
    </w:p>
  </w:footnote>
  <w:footnote w:id="140">
    <w:p w14:paraId="15BC85A9" w14:textId="7EF1CEBE" w:rsidR="005579C3" w:rsidRPr="0046086B" w:rsidRDefault="005579C3" w:rsidP="0046086B">
      <w:pPr>
        <w:pStyle w:val="Textonotapie"/>
        <w:tabs>
          <w:tab w:val="left" w:pos="567"/>
        </w:tabs>
        <w:rPr>
          <w:rFonts w:cstheme="minorBidi"/>
          <w:bCs/>
          <w:color w:val="000000" w:themeColor="text1"/>
          <w:sz w:val="16"/>
          <w:szCs w:val="16"/>
        </w:rPr>
      </w:pPr>
      <w:r w:rsidRPr="0046086B">
        <w:rPr>
          <w:rStyle w:val="Refdenotaalpie"/>
          <w:rFonts w:eastAsia="Calibri"/>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Cfr. Caso Ticona Estrada Vs. Bolivia. Fondo, Reparaciones y Costas</w:t>
      </w:r>
      <w:r w:rsidRPr="0046086B">
        <w:rPr>
          <w:color w:val="000000" w:themeColor="text1"/>
          <w:sz w:val="16"/>
          <w:szCs w:val="16"/>
        </w:rPr>
        <w:t xml:space="preserve">. Sentencia de 27 de noviembre de 2008. Serie C No. 191, párr. 110, y </w:t>
      </w:r>
      <w:r w:rsidRPr="0046086B">
        <w:rPr>
          <w:i/>
          <w:color w:val="000000" w:themeColor="text1"/>
          <w:sz w:val="16"/>
          <w:szCs w:val="16"/>
          <w:lang w:eastAsia="es-PE"/>
        </w:rPr>
        <w:t>Caso Azul Rojas Marín y otra Vs. Perú, supra</w:t>
      </w:r>
      <w:r w:rsidRPr="0046086B">
        <w:rPr>
          <w:color w:val="000000" w:themeColor="text1"/>
          <w:sz w:val="16"/>
          <w:szCs w:val="16"/>
          <w:lang w:eastAsia="es-PE"/>
        </w:rPr>
        <w:t>,</w:t>
      </w:r>
      <w:r w:rsidRPr="0046086B">
        <w:rPr>
          <w:i/>
          <w:color w:val="000000" w:themeColor="text1"/>
          <w:sz w:val="16"/>
          <w:szCs w:val="16"/>
          <w:lang w:eastAsia="es-PE"/>
        </w:rPr>
        <w:t xml:space="preserve"> </w:t>
      </w:r>
      <w:r w:rsidRPr="0046086B">
        <w:rPr>
          <w:color w:val="000000" w:themeColor="text1"/>
          <w:sz w:val="16"/>
          <w:szCs w:val="16"/>
          <w:lang w:eastAsia="es-PE"/>
        </w:rPr>
        <w:t>párr. 224.</w:t>
      </w:r>
    </w:p>
  </w:footnote>
  <w:footnote w:id="141">
    <w:p w14:paraId="7C605193" w14:textId="23E2F549" w:rsidR="005579C3" w:rsidRPr="0046086B" w:rsidRDefault="005579C3" w:rsidP="0046086B">
      <w:pPr>
        <w:pStyle w:val="Textonotapie"/>
        <w:tabs>
          <w:tab w:val="left" w:pos="567"/>
        </w:tabs>
        <w:rPr>
          <w:color w:val="000000" w:themeColor="text1"/>
          <w:sz w:val="16"/>
          <w:szCs w:val="16"/>
          <w:lang w:eastAsia="es-PE"/>
        </w:rPr>
      </w:pPr>
      <w:r w:rsidRPr="0046086B">
        <w:rPr>
          <w:rStyle w:val="Refdenotaalpie"/>
          <w:rFonts w:eastAsia="Calibri"/>
          <w:color w:val="000000" w:themeColor="text1"/>
          <w:sz w:val="16"/>
          <w:szCs w:val="16"/>
        </w:rPr>
        <w:footnoteRef/>
      </w:r>
      <w:r w:rsidRPr="0046086B">
        <w:rPr>
          <w:rFonts w:cs="Verdana"/>
          <w:bCs/>
          <w:color w:val="000000" w:themeColor="text1"/>
          <w:sz w:val="16"/>
          <w:szCs w:val="16"/>
        </w:rPr>
        <w:tab/>
      </w:r>
      <w:r w:rsidRPr="0046086B">
        <w:rPr>
          <w:i/>
          <w:color w:val="000000" w:themeColor="text1"/>
          <w:sz w:val="16"/>
          <w:szCs w:val="16"/>
        </w:rPr>
        <w:t>Cfr.</w:t>
      </w:r>
      <w:r w:rsidRPr="0046086B">
        <w:rPr>
          <w:bCs/>
          <w:i/>
          <w:color w:val="000000" w:themeColor="text1"/>
          <w:sz w:val="16"/>
          <w:szCs w:val="16"/>
        </w:rPr>
        <w:t xml:space="preserve"> Caso Velásquez Rodríguez Vs. Honduras. </w:t>
      </w:r>
      <w:r w:rsidRPr="0046086B">
        <w:rPr>
          <w:i/>
          <w:color w:val="000000" w:themeColor="text1"/>
          <w:sz w:val="16"/>
          <w:szCs w:val="16"/>
        </w:rPr>
        <w:t>Reparaciones y Costas, supra</w:t>
      </w:r>
      <w:r w:rsidRPr="0046086B">
        <w:rPr>
          <w:color w:val="000000" w:themeColor="text1"/>
          <w:sz w:val="16"/>
          <w:szCs w:val="16"/>
        </w:rPr>
        <w:t xml:space="preserve">, párrs. 25 a 27, y </w:t>
      </w:r>
      <w:r w:rsidRPr="0046086B">
        <w:rPr>
          <w:i/>
          <w:color w:val="000000" w:themeColor="text1"/>
          <w:sz w:val="16"/>
          <w:szCs w:val="16"/>
          <w:lang w:eastAsia="es-PE"/>
        </w:rPr>
        <w:t>Caso Azul Rojas Marín y otra Vs. Perú, supra</w:t>
      </w:r>
      <w:r w:rsidRPr="0046086B">
        <w:rPr>
          <w:color w:val="000000" w:themeColor="text1"/>
          <w:sz w:val="16"/>
          <w:szCs w:val="16"/>
          <w:lang w:eastAsia="es-PE"/>
        </w:rPr>
        <w:t>,</w:t>
      </w:r>
      <w:r w:rsidRPr="0046086B">
        <w:rPr>
          <w:i/>
          <w:color w:val="000000" w:themeColor="text1"/>
          <w:sz w:val="16"/>
          <w:szCs w:val="16"/>
          <w:lang w:eastAsia="es-PE"/>
        </w:rPr>
        <w:t xml:space="preserve"> </w:t>
      </w:r>
      <w:r w:rsidRPr="0046086B">
        <w:rPr>
          <w:color w:val="000000" w:themeColor="text1"/>
          <w:sz w:val="16"/>
          <w:szCs w:val="16"/>
          <w:lang w:eastAsia="es-PE"/>
        </w:rPr>
        <w:t>párr. 225.</w:t>
      </w:r>
    </w:p>
  </w:footnote>
  <w:footnote w:id="142">
    <w:p w14:paraId="3A782857" w14:textId="011A1598" w:rsidR="005579C3" w:rsidRPr="0046086B" w:rsidRDefault="005579C3" w:rsidP="0046086B">
      <w:pPr>
        <w:pStyle w:val="Textonotapie"/>
        <w:tabs>
          <w:tab w:val="left" w:pos="567"/>
        </w:tabs>
        <w:rPr>
          <w:sz w:val="16"/>
          <w:szCs w:val="16"/>
          <w:lang w:val="es-ES"/>
        </w:rPr>
      </w:pPr>
      <w:r w:rsidRPr="0046086B">
        <w:rPr>
          <w:rStyle w:val="Refdenotaalpie"/>
          <w:sz w:val="16"/>
          <w:szCs w:val="16"/>
        </w:rPr>
        <w:footnoteRef/>
      </w:r>
      <w:r w:rsidRPr="0046086B">
        <w:rPr>
          <w:sz w:val="16"/>
          <w:szCs w:val="16"/>
        </w:rPr>
        <w:t xml:space="preserve"> </w:t>
      </w:r>
      <w:r w:rsidRPr="0046086B">
        <w:rPr>
          <w:sz w:val="16"/>
          <w:szCs w:val="16"/>
        </w:rPr>
        <w:tab/>
      </w:r>
      <w:r w:rsidRPr="0046086B">
        <w:rPr>
          <w:sz w:val="16"/>
          <w:szCs w:val="16"/>
          <w:lang w:val="es-ES"/>
        </w:rPr>
        <w:t xml:space="preserve">El señor </w:t>
      </w:r>
      <w:r w:rsidRPr="0046086B">
        <w:rPr>
          <w:rFonts w:eastAsiaTheme="minorHAnsi"/>
          <w:sz w:val="16"/>
          <w:szCs w:val="16"/>
          <w:lang w:val="es-ES" w:eastAsia="en-US"/>
        </w:rPr>
        <w:t>José Fernando Roche Zhizhingo falleció ocho años después de los hechos ocurridos el 14 de abril de 1996 (</w:t>
      </w:r>
      <w:r w:rsidRPr="0046086B">
        <w:rPr>
          <w:i/>
          <w:color w:val="000000" w:themeColor="text1"/>
          <w:sz w:val="16"/>
          <w:szCs w:val="16"/>
        </w:rPr>
        <w:t>Cfr</w:t>
      </w:r>
      <w:r w:rsidRPr="0046086B">
        <w:rPr>
          <w:color w:val="000000" w:themeColor="text1"/>
          <w:sz w:val="16"/>
          <w:szCs w:val="16"/>
        </w:rPr>
        <w:t xml:space="preserve">. </w:t>
      </w:r>
      <w:r w:rsidRPr="0046086B">
        <w:rPr>
          <w:rFonts w:cs="Calibri"/>
          <w:color w:val="000000" w:themeColor="text1"/>
          <w:sz w:val="16"/>
          <w:szCs w:val="16"/>
          <w:lang w:val="es-CR" w:eastAsia="en-US"/>
        </w:rPr>
        <w:t xml:space="preserve">Declaración de María Angelita Azaña Tenesaca en la Audiencia Pública celebrada ante esta Corte el 4 de febrero de 2020). </w:t>
      </w:r>
    </w:p>
  </w:footnote>
  <w:footnote w:id="143">
    <w:p w14:paraId="05CB3DE2" w14:textId="08EDCE85" w:rsidR="005579C3" w:rsidRPr="0046086B" w:rsidRDefault="005579C3" w:rsidP="0046086B">
      <w:pPr>
        <w:pStyle w:val="Textonotapie"/>
        <w:tabs>
          <w:tab w:val="left" w:pos="567"/>
          <w:tab w:val="left" w:pos="709"/>
        </w:tabs>
        <w:rPr>
          <w:b/>
          <w:bCs/>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 xml:space="preserve">Cfr. Caso Montesinos Mejía Vs. Ecuador. Excepciones Preliminares, Fondo, Reparaciones y Costas. </w:t>
      </w:r>
      <w:r w:rsidRPr="0046086B">
        <w:rPr>
          <w:iCs/>
          <w:color w:val="000000" w:themeColor="text1"/>
          <w:sz w:val="16"/>
          <w:szCs w:val="16"/>
        </w:rPr>
        <w:t>Sentencia de 27 de enero de 2020. Serie C No. 398, Párrafo 226,</w:t>
      </w:r>
      <w:r w:rsidRPr="0046086B">
        <w:rPr>
          <w:color w:val="000000" w:themeColor="text1"/>
          <w:sz w:val="16"/>
          <w:szCs w:val="16"/>
        </w:rPr>
        <w:t xml:space="preserve"> y </w:t>
      </w:r>
      <w:r w:rsidRPr="0046086B">
        <w:rPr>
          <w:rStyle w:val="Textoennegrita"/>
          <w:b w:val="0"/>
          <w:bCs w:val="0"/>
          <w:i/>
          <w:color w:val="000000" w:themeColor="text1"/>
          <w:sz w:val="16"/>
          <w:szCs w:val="16"/>
          <w:shd w:val="clear" w:color="auto" w:fill="FFFFFF"/>
        </w:rPr>
        <w:t>Caso Noguera y otra Vs. Paraguay, supra</w:t>
      </w:r>
      <w:r w:rsidRPr="0046086B">
        <w:rPr>
          <w:rStyle w:val="Textoennegrita"/>
          <w:b w:val="0"/>
          <w:bCs w:val="0"/>
          <w:iCs/>
          <w:color w:val="000000" w:themeColor="text1"/>
          <w:sz w:val="16"/>
          <w:szCs w:val="16"/>
          <w:shd w:val="clear" w:color="auto" w:fill="FFFFFF"/>
        </w:rPr>
        <w:t>, párr. 96.</w:t>
      </w:r>
    </w:p>
  </w:footnote>
  <w:footnote w:id="144">
    <w:p w14:paraId="6111B8ED" w14:textId="15B7A4CC" w:rsidR="005579C3" w:rsidRPr="0046086B" w:rsidRDefault="005579C3" w:rsidP="0046086B">
      <w:pPr>
        <w:tabs>
          <w:tab w:val="left" w:pos="567"/>
        </w:tabs>
        <w:rPr>
          <w:b/>
          <w:bCs/>
          <w:color w:val="000000" w:themeColor="text1"/>
          <w:sz w:val="16"/>
          <w:szCs w:val="16"/>
          <w:lang w:eastAsia="es-ES"/>
        </w:rPr>
      </w:pPr>
      <w:r w:rsidRPr="0046086B">
        <w:rPr>
          <w:rStyle w:val="Refdenotaalpie"/>
          <w:rFonts w:eastAsia="MS ????"/>
          <w:color w:val="000000" w:themeColor="text1"/>
          <w:sz w:val="16"/>
          <w:szCs w:val="16"/>
        </w:rPr>
        <w:footnoteRef/>
      </w:r>
      <w:r w:rsidRPr="0046086B">
        <w:rPr>
          <w:color w:val="000000" w:themeColor="text1"/>
          <w:sz w:val="16"/>
          <w:szCs w:val="16"/>
        </w:rPr>
        <w:tab/>
      </w:r>
      <w:r w:rsidRPr="0046086B">
        <w:rPr>
          <w:i/>
          <w:color w:val="000000" w:themeColor="text1"/>
          <w:sz w:val="16"/>
          <w:szCs w:val="16"/>
        </w:rPr>
        <w:t xml:space="preserve">Cfr. </w:t>
      </w:r>
      <w:r w:rsidRPr="0046086B">
        <w:rPr>
          <w:bCs/>
          <w:i/>
          <w:color w:val="000000" w:themeColor="text1"/>
          <w:sz w:val="16"/>
          <w:szCs w:val="16"/>
        </w:rPr>
        <w:t xml:space="preserve">Caso Bámaca Velásquez Vs. Guatemala. </w:t>
      </w:r>
      <w:r w:rsidRPr="0046086B">
        <w:rPr>
          <w:i/>
          <w:color w:val="000000" w:themeColor="text1"/>
          <w:sz w:val="16"/>
          <w:szCs w:val="16"/>
        </w:rPr>
        <w:t>Reparaciones y Costas</w:t>
      </w:r>
      <w:r w:rsidRPr="0046086B">
        <w:rPr>
          <w:color w:val="000000" w:themeColor="text1"/>
          <w:sz w:val="16"/>
          <w:szCs w:val="16"/>
        </w:rPr>
        <w:t xml:space="preserve">. Sentencia de 22 de febrero de 2002. Serie C No. 91, párr. 43, y </w:t>
      </w:r>
      <w:r w:rsidRPr="0046086B">
        <w:rPr>
          <w:rStyle w:val="Textoennegrita"/>
          <w:b w:val="0"/>
          <w:bCs w:val="0"/>
          <w:i/>
          <w:color w:val="000000" w:themeColor="text1"/>
          <w:sz w:val="16"/>
          <w:szCs w:val="16"/>
          <w:shd w:val="clear" w:color="auto" w:fill="FFFFFF"/>
        </w:rPr>
        <w:t>Caso Azul Rojas Marín y otra Vs. Perú, supra</w:t>
      </w:r>
      <w:r w:rsidRPr="0046086B">
        <w:rPr>
          <w:rStyle w:val="Textoennegrita"/>
          <w:b w:val="0"/>
          <w:bCs w:val="0"/>
          <w:color w:val="000000" w:themeColor="text1"/>
          <w:sz w:val="16"/>
          <w:szCs w:val="16"/>
          <w:shd w:val="clear" w:color="auto" w:fill="FFFFFF"/>
        </w:rPr>
        <w:t>, párr. 256.</w:t>
      </w:r>
    </w:p>
  </w:footnote>
  <w:footnote w:id="145">
    <w:p w14:paraId="7FF05447" w14:textId="2932E450" w:rsidR="005579C3" w:rsidRPr="0046086B" w:rsidRDefault="005579C3" w:rsidP="0046086B">
      <w:pPr>
        <w:tabs>
          <w:tab w:val="left" w:pos="567"/>
        </w:tabs>
        <w:rPr>
          <w:b/>
          <w:bCs/>
          <w:color w:val="000000" w:themeColor="text1"/>
          <w:sz w:val="16"/>
          <w:szCs w:val="16"/>
        </w:rPr>
      </w:pPr>
      <w:r w:rsidRPr="0046086B">
        <w:rPr>
          <w:rStyle w:val="Refdenotaalpie"/>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rFonts w:cs="Arial"/>
          <w:i/>
          <w:color w:val="000000" w:themeColor="text1"/>
          <w:sz w:val="16"/>
          <w:szCs w:val="16"/>
        </w:rPr>
        <w:t>Cfr. Caso Bámaca Velásquez Vs. Guatemala. Reparaciones y Costas, supra</w:t>
      </w:r>
      <w:r w:rsidRPr="0046086B">
        <w:rPr>
          <w:rFonts w:cs="Arial"/>
          <w:color w:val="000000" w:themeColor="text1"/>
          <w:sz w:val="16"/>
          <w:szCs w:val="16"/>
        </w:rPr>
        <w:t xml:space="preserve">, párr. 43, y </w:t>
      </w:r>
      <w:r w:rsidRPr="0046086B">
        <w:rPr>
          <w:rStyle w:val="Textoennegrita"/>
          <w:b w:val="0"/>
          <w:bCs w:val="0"/>
          <w:i/>
          <w:color w:val="000000" w:themeColor="text1"/>
          <w:sz w:val="16"/>
          <w:szCs w:val="16"/>
          <w:shd w:val="clear" w:color="auto" w:fill="FFFFFF"/>
        </w:rPr>
        <w:t>Caso Noguera y otra Vs. Paraguay, supra</w:t>
      </w:r>
      <w:r w:rsidRPr="0046086B">
        <w:rPr>
          <w:rStyle w:val="Textoennegrita"/>
          <w:b w:val="0"/>
          <w:bCs w:val="0"/>
          <w:color w:val="000000" w:themeColor="text1"/>
          <w:sz w:val="16"/>
          <w:szCs w:val="16"/>
          <w:shd w:val="clear" w:color="auto" w:fill="FFFFFF"/>
        </w:rPr>
        <w:t>, párr. 114.</w:t>
      </w:r>
    </w:p>
  </w:footnote>
  <w:footnote w:id="146">
    <w:p w14:paraId="41DE357C" w14:textId="10B0444E" w:rsidR="005579C3" w:rsidRPr="0046086B" w:rsidRDefault="005579C3" w:rsidP="0046086B">
      <w:pPr>
        <w:tabs>
          <w:tab w:val="left" w:pos="567"/>
        </w:tabs>
        <w:rPr>
          <w:color w:val="000000" w:themeColor="text1"/>
          <w:sz w:val="16"/>
          <w:szCs w:val="16"/>
        </w:rPr>
      </w:pPr>
      <w:r w:rsidRPr="0046086B">
        <w:rPr>
          <w:rStyle w:val="Refdenotaalpie"/>
          <w:rFonts w:eastAsia="Calibri"/>
          <w:color w:val="000000" w:themeColor="text1"/>
          <w:sz w:val="16"/>
          <w:szCs w:val="16"/>
        </w:rPr>
        <w:footnoteRef/>
      </w:r>
      <w:r w:rsidRPr="0046086B">
        <w:rPr>
          <w:color w:val="000000" w:themeColor="text1"/>
          <w:sz w:val="16"/>
          <w:szCs w:val="16"/>
        </w:rPr>
        <w:t xml:space="preserve"> </w:t>
      </w:r>
      <w:r w:rsidRPr="0046086B">
        <w:rPr>
          <w:color w:val="000000" w:themeColor="text1"/>
          <w:sz w:val="16"/>
          <w:szCs w:val="16"/>
        </w:rPr>
        <w:tab/>
      </w:r>
      <w:r w:rsidRPr="0046086B">
        <w:rPr>
          <w:i/>
          <w:color w:val="000000" w:themeColor="text1"/>
          <w:sz w:val="16"/>
          <w:szCs w:val="16"/>
        </w:rPr>
        <w:t xml:space="preserve">Cfr. Caso de los “Niños de la Calle” (Villagrán Morales y otros) Vs. Guatemala. Reparaciones y Costas. </w:t>
      </w:r>
      <w:r w:rsidRPr="0046086B">
        <w:rPr>
          <w:iCs/>
          <w:color w:val="000000" w:themeColor="text1"/>
          <w:sz w:val="16"/>
          <w:szCs w:val="16"/>
        </w:rPr>
        <w:t>Sentencia de 26 de mayo de 2001. Serie C No. 77,</w:t>
      </w:r>
      <w:r w:rsidRPr="0046086B">
        <w:rPr>
          <w:i/>
          <w:color w:val="000000" w:themeColor="text1"/>
          <w:sz w:val="16"/>
          <w:szCs w:val="16"/>
        </w:rPr>
        <w:t xml:space="preserve"> </w:t>
      </w:r>
      <w:r w:rsidRPr="0046086B">
        <w:rPr>
          <w:color w:val="000000" w:themeColor="text1"/>
          <w:sz w:val="16"/>
          <w:szCs w:val="16"/>
        </w:rPr>
        <w:t xml:space="preserve">párr. 84, y </w:t>
      </w:r>
      <w:r w:rsidRPr="0046086B">
        <w:rPr>
          <w:rStyle w:val="Textoennegrita"/>
          <w:b w:val="0"/>
          <w:bCs w:val="0"/>
          <w:i/>
          <w:color w:val="000000" w:themeColor="text1"/>
          <w:sz w:val="16"/>
          <w:szCs w:val="16"/>
          <w:shd w:val="clear" w:color="auto" w:fill="FFFFFF"/>
        </w:rPr>
        <w:t>Caso Azul Rojas Marín y otra Vs. Perú, supra</w:t>
      </w:r>
      <w:r w:rsidRPr="0046086B">
        <w:rPr>
          <w:rStyle w:val="Textoennegrita"/>
          <w:b w:val="0"/>
          <w:bCs w:val="0"/>
          <w:color w:val="000000" w:themeColor="text1"/>
          <w:sz w:val="16"/>
          <w:szCs w:val="16"/>
          <w:shd w:val="clear" w:color="auto" w:fill="FFFFFF"/>
        </w:rPr>
        <w:t>, párr. 261.</w:t>
      </w:r>
    </w:p>
  </w:footnote>
  <w:footnote w:id="147">
    <w:p w14:paraId="04B69C1C" w14:textId="77777777" w:rsidR="005579C3" w:rsidRPr="0046086B" w:rsidRDefault="005579C3" w:rsidP="0046086B">
      <w:pPr>
        <w:pStyle w:val="Textonotapie"/>
        <w:tabs>
          <w:tab w:val="left" w:pos="567"/>
        </w:tabs>
        <w:rPr>
          <w:color w:val="000000" w:themeColor="text1"/>
          <w:sz w:val="16"/>
          <w:szCs w:val="16"/>
          <w:u w:val="single"/>
          <w:lang w:val="es-CR"/>
        </w:rPr>
      </w:pPr>
      <w:r w:rsidRPr="0046086B">
        <w:rPr>
          <w:rStyle w:val="Refdenotaalpie"/>
          <w:rFonts w:eastAsia="Calibri"/>
          <w:color w:val="000000" w:themeColor="text1"/>
          <w:sz w:val="16"/>
          <w:szCs w:val="16"/>
        </w:rPr>
        <w:footnoteRef/>
      </w:r>
      <w:r w:rsidRPr="0046086B">
        <w:rPr>
          <w:color w:val="000000" w:themeColor="text1"/>
          <w:sz w:val="16"/>
          <w:szCs w:val="16"/>
          <w:lang w:val="es-CR"/>
        </w:rPr>
        <w:t xml:space="preserve"> </w:t>
      </w:r>
      <w:r w:rsidRPr="0046086B">
        <w:rPr>
          <w:color w:val="000000" w:themeColor="text1"/>
          <w:sz w:val="16"/>
          <w:szCs w:val="16"/>
          <w:lang w:val="es-CR"/>
        </w:rPr>
        <w:tab/>
      </w:r>
      <w:r w:rsidRPr="0046086B">
        <w:rPr>
          <w:bCs/>
          <w:color w:val="000000" w:themeColor="text1"/>
          <w:sz w:val="16"/>
          <w:szCs w:val="16"/>
          <w:lang w:val="es-CR"/>
        </w:rPr>
        <w:t>AG/RES. 2426 (XXXVIII-O/08),</w:t>
      </w:r>
      <w:r w:rsidRPr="0046086B">
        <w:rPr>
          <w:rFonts w:cs="Verdana"/>
          <w:color w:val="000000" w:themeColor="text1"/>
          <w:sz w:val="16"/>
          <w:szCs w:val="16"/>
          <w:lang w:val="es-CR"/>
        </w:rPr>
        <w:t xml:space="preserve"> </w:t>
      </w:r>
      <w:r w:rsidRPr="0046086B">
        <w:rPr>
          <w:color w:val="000000" w:themeColor="text1"/>
          <w:sz w:val="16"/>
          <w:szCs w:val="16"/>
          <w:lang w:val="es-CR"/>
        </w:rPr>
        <w:t xml:space="preserve">Resolución adoptada por la Asamblea General de la OEA </w:t>
      </w:r>
      <w:r w:rsidRPr="0046086B">
        <w:rPr>
          <w:rFonts w:cs="Verdana"/>
          <w:color w:val="000000" w:themeColor="text1"/>
          <w:sz w:val="16"/>
          <w:szCs w:val="16"/>
          <w:lang w:val="es-CR"/>
        </w:rPr>
        <w:t>durante la celebración del XXXVIII Período Ordinario de Sesiones de la OEA,</w:t>
      </w:r>
      <w:r w:rsidRPr="0046086B">
        <w:rPr>
          <w:bCs/>
          <w:color w:val="000000" w:themeColor="text1"/>
          <w:sz w:val="16"/>
          <w:szCs w:val="16"/>
          <w:lang w:val="es-CR"/>
        </w:rPr>
        <w:t xml:space="preserve"> </w:t>
      </w:r>
      <w:r w:rsidRPr="0046086B">
        <w:rPr>
          <w:color w:val="000000" w:themeColor="text1"/>
          <w:sz w:val="16"/>
          <w:szCs w:val="16"/>
          <w:lang w:val="es-CR"/>
        </w:rPr>
        <w:t>en la cuarta sesión plenaria,</w:t>
      </w:r>
      <w:r w:rsidRPr="0046086B">
        <w:rPr>
          <w:bCs/>
          <w:color w:val="000000" w:themeColor="text1"/>
          <w:sz w:val="16"/>
          <w:szCs w:val="16"/>
          <w:lang w:val="es-CR"/>
        </w:rPr>
        <w:t xml:space="preserve"> </w:t>
      </w:r>
      <w:r w:rsidRPr="0046086B">
        <w:rPr>
          <w:color w:val="000000" w:themeColor="text1"/>
          <w:sz w:val="16"/>
          <w:szCs w:val="16"/>
          <w:lang w:val="es-CR"/>
        </w:rPr>
        <w:t xml:space="preserve">celebrada el 3 de junio de 2008, </w:t>
      </w:r>
      <w:r w:rsidRPr="0046086B">
        <w:rPr>
          <w:i/>
          <w:color w:val="000000" w:themeColor="text1"/>
          <w:sz w:val="16"/>
          <w:szCs w:val="16"/>
          <w:lang w:val="es-CR"/>
        </w:rPr>
        <w:t>“Creación del Fondo de Asistencia Legal del Sistema Interamericano de Derechos Humanos</w:t>
      </w:r>
      <w:r w:rsidRPr="0046086B">
        <w:rPr>
          <w:color w:val="000000" w:themeColor="text1"/>
          <w:sz w:val="16"/>
          <w:szCs w:val="16"/>
          <w:lang w:val="es-CR"/>
        </w:rPr>
        <w:t>”, Punto Resolutivo 2.a</w:t>
      </w:r>
      <w:r w:rsidRPr="0046086B">
        <w:rPr>
          <w:rFonts w:cs="Verdana"/>
          <w:color w:val="000000" w:themeColor="text1"/>
          <w:sz w:val="16"/>
          <w:szCs w:val="16"/>
          <w:lang w:val="es-CR"/>
        </w:rPr>
        <w:t xml:space="preserve">), y </w:t>
      </w:r>
      <w:r w:rsidRPr="0046086B">
        <w:rPr>
          <w:color w:val="000000" w:themeColor="text1"/>
          <w:sz w:val="16"/>
          <w:szCs w:val="16"/>
          <w:lang w:val="es-CR"/>
        </w:rPr>
        <w:t>CP/RES. 963 (1728/09), Resolución adoptada el 11 de noviembre de 2009 por el Consejo Permanente de la OEA, “</w:t>
      </w:r>
      <w:r w:rsidRPr="0046086B">
        <w:rPr>
          <w:i/>
          <w:iCs/>
          <w:color w:val="000000" w:themeColor="text1"/>
          <w:sz w:val="16"/>
          <w:szCs w:val="16"/>
          <w:lang w:val="es-CR"/>
        </w:rPr>
        <w:t xml:space="preserve">Reglamento para el Funcionamiento del Fondo de Asistencia </w:t>
      </w:r>
      <w:r w:rsidRPr="0046086B">
        <w:rPr>
          <w:iCs/>
          <w:color w:val="000000" w:themeColor="text1"/>
          <w:sz w:val="16"/>
          <w:szCs w:val="16"/>
          <w:lang w:val="es-CR"/>
        </w:rPr>
        <w:t>Legal</w:t>
      </w:r>
      <w:r w:rsidRPr="0046086B">
        <w:rPr>
          <w:i/>
          <w:iCs/>
          <w:color w:val="000000" w:themeColor="text1"/>
          <w:sz w:val="16"/>
          <w:szCs w:val="16"/>
          <w:lang w:val="es-CR"/>
        </w:rPr>
        <w:t xml:space="preserve"> del Sistema Interamericano de Derechos Humanos</w:t>
      </w:r>
      <w:r w:rsidRPr="0046086B">
        <w:rPr>
          <w:color w:val="000000" w:themeColor="text1"/>
          <w:sz w:val="16"/>
          <w:szCs w:val="16"/>
          <w:lang w:val="es-CR"/>
        </w:rPr>
        <w:t>”, artículo 1.1.</w:t>
      </w:r>
    </w:p>
  </w:footnote>
  <w:footnote w:id="148">
    <w:p w14:paraId="14A3E499" w14:textId="77777777" w:rsidR="005579C3" w:rsidRPr="00936AED" w:rsidRDefault="005579C3" w:rsidP="0084184A">
      <w:pPr>
        <w:pStyle w:val="Textonotapie"/>
        <w:spacing w:beforeLines="20" w:before="48" w:afterLines="20" w:after="48"/>
        <w:rPr>
          <w:rFonts w:cs="Vani"/>
          <w:sz w:val="16"/>
          <w:szCs w:val="16"/>
        </w:rPr>
      </w:pPr>
      <w:r w:rsidRPr="00936AED">
        <w:rPr>
          <w:rStyle w:val="Refdenotaalpie"/>
          <w:rFonts w:cs="Vani"/>
          <w:sz w:val="16"/>
          <w:szCs w:val="16"/>
        </w:rPr>
        <w:footnoteRef/>
      </w:r>
      <w:r w:rsidRPr="00936AED">
        <w:rPr>
          <w:rFonts w:cs="Vani"/>
          <w:sz w:val="16"/>
          <w:szCs w:val="16"/>
        </w:rPr>
        <w:t xml:space="preserve"> </w:t>
      </w:r>
      <w:r w:rsidRPr="00936AED">
        <w:rPr>
          <w:rFonts w:cs="Vani"/>
          <w:sz w:val="16"/>
          <w:szCs w:val="16"/>
        </w:rPr>
        <w:tab/>
        <w:t>Párrafo 91.</w:t>
      </w:r>
    </w:p>
  </w:footnote>
  <w:footnote w:id="149">
    <w:p w14:paraId="6E857C2C" w14:textId="77777777" w:rsidR="005579C3" w:rsidRPr="00936AED" w:rsidRDefault="005579C3" w:rsidP="0084184A">
      <w:pPr>
        <w:pStyle w:val="Textonotapie"/>
        <w:spacing w:beforeLines="20" w:before="48" w:afterLines="20" w:after="48"/>
        <w:rPr>
          <w:rFonts w:cs="Vani"/>
          <w:sz w:val="16"/>
          <w:szCs w:val="16"/>
        </w:rPr>
      </w:pPr>
      <w:r w:rsidRPr="00936AED">
        <w:rPr>
          <w:rStyle w:val="Refdenotaalpie"/>
          <w:rFonts w:cs="Vani"/>
          <w:sz w:val="16"/>
          <w:szCs w:val="16"/>
        </w:rPr>
        <w:footnoteRef/>
      </w:r>
      <w:r w:rsidRPr="00936AED">
        <w:rPr>
          <w:rFonts w:cs="Vani"/>
          <w:sz w:val="16"/>
          <w:szCs w:val="16"/>
        </w:rPr>
        <w:t xml:space="preserve"> </w:t>
      </w:r>
      <w:r w:rsidRPr="00936AED">
        <w:rPr>
          <w:rFonts w:cs="Vani"/>
          <w:sz w:val="16"/>
          <w:szCs w:val="16"/>
        </w:rPr>
        <w:tab/>
        <w:t>Párrafo 92.</w:t>
      </w:r>
    </w:p>
  </w:footnote>
  <w:footnote w:id="150">
    <w:p w14:paraId="11F9A5D7" w14:textId="77777777" w:rsidR="005579C3" w:rsidRPr="00936AED" w:rsidRDefault="005579C3" w:rsidP="0084184A">
      <w:pPr>
        <w:pStyle w:val="Textonotapie"/>
        <w:spacing w:beforeLines="20" w:before="48" w:afterLines="20" w:after="48"/>
        <w:rPr>
          <w:rFonts w:cs="Vani"/>
          <w:sz w:val="16"/>
          <w:szCs w:val="16"/>
        </w:rPr>
      </w:pPr>
      <w:r w:rsidRPr="00936AED">
        <w:rPr>
          <w:rStyle w:val="Refdenotaalpie"/>
          <w:rFonts w:cs="Vani"/>
          <w:sz w:val="16"/>
          <w:szCs w:val="16"/>
        </w:rPr>
        <w:footnoteRef/>
      </w:r>
      <w:r w:rsidRPr="00936AED">
        <w:rPr>
          <w:rFonts w:cs="Vani"/>
          <w:sz w:val="16"/>
          <w:szCs w:val="16"/>
        </w:rPr>
        <w:t xml:space="preserve"> </w:t>
      </w:r>
      <w:r w:rsidRPr="00936AED">
        <w:rPr>
          <w:rFonts w:cs="Vani"/>
          <w:sz w:val="16"/>
          <w:szCs w:val="16"/>
        </w:rPr>
        <w:tab/>
        <w:t>Párrafo 93.</w:t>
      </w:r>
    </w:p>
  </w:footnote>
  <w:footnote w:id="151">
    <w:p w14:paraId="315BD457" w14:textId="77777777" w:rsidR="005579C3" w:rsidRPr="00936AED" w:rsidRDefault="005579C3" w:rsidP="005579C3">
      <w:pPr>
        <w:pStyle w:val="Textonotapie"/>
        <w:widowControl/>
        <w:spacing w:beforeLines="20" w:before="48" w:afterLines="20" w:after="48"/>
        <w:rPr>
          <w:sz w:val="16"/>
          <w:szCs w:val="16"/>
        </w:rPr>
      </w:pPr>
      <w:r w:rsidRPr="00936AED">
        <w:rPr>
          <w:rStyle w:val="Refdenotaalpie"/>
          <w:sz w:val="16"/>
          <w:szCs w:val="16"/>
        </w:rPr>
        <w:footnoteRef/>
      </w:r>
      <w:r w:rsidRPr="00936AED">
        <w:rPr>
          <w:sz w:val="16"/>
          <w:szCs w:val="16"/>
        </w:rPr>
        <w:t xml:space="preserve"> </w:t>
      </w:r>
      <w:r w:rsidRPr="00936AED">
        <w:rPr>
          <w:sz w:val="16"/>
          <w:szCs w:val="16"/>
        </w:rPr>
        <w:tab/>
        <w:t>Lo anterior, sin perjuicio de la definición ampliada desarrollada por la Declaración de Cartagena sobre Refugiados, adoptada por el “Coloquio Sobre la Protección Internacional de los Refugiados en América Central, México y Panamá: Problemas Jurídicos y Humanitarios”, celebrado en Cartagena, Colombia, del 19 al 22 de noviembre de 1984.</w:t>
      </w:r>
    </w:p>
  </w:footnote>
  <w:footnote w:id="152">
    <w:p w14:paraId="2AEDE007" w14:textId="77777777" w:rsidR="005579C3" w:rsidRPr="00936AED" w:rsidRDefault="005579C3" w:rsidP="005579C3">
      <w:pPr>
        <w:pStyle w:val="Textonotapie"/>
        <w:widowControl/>
        <w:rPr>
          <w:sz w:val="16"/>
          <w:szCs w:val="16"/>
        </w:rPr>
      </w:pPr>
      <w:r w:rsidRPr="00936AED">
        <w:rPr>
          <w:rStyle w:val="Refdenotaalpie"/>
          <w:sz w:val="16"/>
          <w:szCs w:val="16"/>
        </w:rPr>
        <w:footnoteRef/>
      </w:r>
      <w:r w:rsidRPr="00936AED">
        <w:rPr>
          <w:sz w:val="16"/>
          <w:szCs w:val="16"/>
        </w:rPr>
        <w:t xml:space="preserve"> </w:t>
      </w:r>
      <w:r w:rsidRPr="00936AED">
        <w:rPr>
          <w:sz w:val="16"/>
          <w:szCs w:val="16"/>
        </w:rPr>
        <w:tab/>
        <w:t>Convención internacional sobre la protección de los derechos de todos los trabajadores migratorios y de sus familiares, Adoptada por la Asamblea General en su resolución 45/158, de 18 de diciembre de 1990.</w:t>
      </w:r>
    </w:p>
  </w:footnote>
  <w:footnote w:id="153">
    <w:p w14:paraId="02B83EE5" w14:textId="77777777" w:rsidR="005579C3" w:rsidRDefault="005579C3" w:rsidP="005579C3">
      <w:pPr>
        <w:pStyle w:val="Textonotapie"/>
        <w:widowControl/>
        <w:spacing w:beforeLines="20" w:before="48" w:afterLines="20" w:after="48"/>
        <w:rPr>
          <w:sz w:val="16"/>
          <w:szCs w:val="16"/>
          <w:lang w:val="en-GB"/>
        </w:rPr>
      </w:pPr>
      <w:r w:rsidRPr="00936AED">
        <w:rPr>
          <w:rStyle w:val="Refdenotaalpie"/>
          <w:sz w:val="16"/>
          <w:szCs w:val="16"/>
        </w:rPr>
        <w:footnoteRef/>
      </w:r>
      <w:r w:rsidRPr="00936AED">
        <w:rPr>
          <w:sz w:val="16"/>
          <w:szCs w:val="16"/>
        </w:rPr>
        <w:t xml:space="preserve"> </w:t>
      </w:r>
      <w:r w:rsidRPr="00936AED">
        <w:rPr>
          <w:sz w:val="16"/>
          <w:szCs w:val="16"/>
        </w:rPr>
        <w:tab/>
        <w:t xml:space="preserve">OIM, Definición del a OIM del término “Migrante”, disponible en: </w:t>
      </w:r>
      <w:hyperlink r:id="rId6" w:history="1">
        <w:r w:rsidRPr="00936AED">
          <w:rPr>
            <w:rStyle w:val="Hipervnculo"/>
            <w:sz w:val="16"/>
            <w:szCs w:val="16"/>
          </w:rPr>
          <w:t>https://www.iom.int/es/quien-es-un-migrante</w:t>
        </w:r>
      </w:hyperlink>
      <w:r w:rsidRPr="00936AED">
        <w:rPr>
          <w:sz w:val="16"/>
          <w:szCs w:val="16"/>
        </w:rPr>
        <w:t xml:space="preserve"> Véase también, Glosario de términos de la OIM, el cual define el concepto de migrante como “[u]n término paraguas, no definido por el derecho internacional, el cual refleja el entendimiento común de una persona que se muda de su lugar de residencia habitual, ya sea dentro de un país o a través de una frontera internacional, temporal o permanentemente, y por una variedad de razones. El concepto incluye una serie de categorías legales de personas bien definidas, como los trabajadores migrantes; personas cuyos tipos particulares de movimientos están legalmente definidos, como las personas migrantes víctimas de tráfico ilícito; así como aquellos cuyo estatus o medios de movilidad no están específicamente definidos en el derecho internacional, como los estudiantes internacionales”.</w:t>
      </w:r>
      <w:r w:rsidRPr="00936AED">
        <w:rPr>
          <w:sz w:val="16"/>
          <w:szCs w:val="16"/>
          <w:lang w:val="es-CR"/>
        </w:rPr>
        <w:t xml:space="preserve"> </w:t>
      </w:r>
      <w:r w:rsidRPr="00936AED">
        <w:rPr>
          <w:sz w:val="16"/>
          <w:szCs w:val="16"/>
          <w:lang w:val="en-GB"/>
        </w:rPr>
        <w:t>International Migration Law, no. 34, 2019, Glossary on Migration, pág. 132, disponible aquí:</w:t>
      </w:r>
    </w:p>
    <w:p w14:paraId="71517C34" w14:textId="77777777" w:rsidR="005579C3" w:rsidRPr="00936AED" w:rsidRDefault="009E306B" w:rsidP="005579C3">
      <w:pPr>
        <w:pStyle w:val="Textonotapie"/>
        <w:widowControl/>
        <w:spacing w:beforeLines="20" w:before="48" w:afterLines="20" w:after="48"/>
        <w:rPr>
          <w:sz w:val="16"/>
          <w:szCs w:val="16"/>
          <w:lang w:val="en-GB"/>
        </w:rPr>
      </w:pPr>
      <w:hyperlink r:id="rId7" w:history="1">
        <w:r w:rsidR="005579C3" w:rsidRPr="00936AED">
          <w:rPr>
            <w:rStyle w:val="Hipervnculo"/>
            <w:sz w:val="16"/>
            <w:szCs w:val="16"/>
            <w:lang w:val="en-GB"/>
          </w:rPr>
          <w:t>https://publications.iom.int/system/files/pdf/iml_34_glossary.pdf</w:t>
        </w:r>
      </w:hyperlink>
      <w:r w:rsidR="005579C3" w:rsidRPr="00936AED">
        <w:rPr>
          <w:sz w:val="16"/>
          <w:szCs w:val="16"/>
          <w:lang w:val="en-GB"/>
        </w:rPr>
        <w:t xml:space="preserve"> </w:t>
      </w:r>
    </w:p>
  </w:footnote>
  <w:footnote w:id="154">
    <w:p w14:paraId="5E16CCC1" w14:textId="77777777" w:rsidR="005579C3" w:rsidRPr="00936AED" w:rsidRDefault="005579C3" w:rsidP="005579C3">
      <w:pPr>
        <w:pStyle w:val="Textonotapie"/>
        <w:widowControl/>
        <w:rPr>
          <w:sz w:val="16"/>
          <w:szCs w:val="16"/>
          <w:lang w:val="en-US"/>
        </w:rPr>
      </w:pPr>
      <w:r w:rsidRPr="00936AED">
        <w:rPr>
          <w:rStyle w:val="Refdenotaalpie"/>
          <w:sz w:val="16"/>
          <w:szCs w:val="16"/>
        </w:rPr>
        <w:footnoteRef/>
      </w:r>
      <w:r w:rsidRPr="00936AED">
        <w:rPr>
          <w:sz w:val="16"/>
          <w:szCs w:val="16"/>
          <w:lang w:val="en-US"/>
        </w:rPr>
        <w:t xml:space="preserve"> </w:t>
      </w:r>
      <w:r w:rsidRPr="00936AED">
        <w:rPr>
          <w:sz w:val="16"/>
          <w:szCs w:val="16"/>
          <w:lang w:val="en-US"/>
        </w:rPr>
        <w:tab/>
      </w:r>
      <w:r w:rsidRPr="00936AED">
        <w:rPr>
          <w:i/>
          <w:iCs/>
          <w:sz w:val="16"/>
          <w:szCs w:val="16"/>
          <w:lang w:val="en-US"/>
        </w:rPr>
        <w:t>Idem</w:t>
      </w:r>
      <w:r w:rsidRPr="00936AED">
        <w:rPr>
          <w:sz w:val="16"/>
          <w:szCs w:val="16"/>
          <w:lang w:val="en-US"/>
        </w:rPr>
        <w:t>.</w:t>
      </w:r>
    </w:p>
  </w:footnote>
  <w:footnote w:id="155">
    <w:p w14:paraId="2BB9EE3E" w14:textId="77777777" w:rsidR="005579C3" w:rsidRPr="00936AED" w:rsidRDefault="005579C3" w:rsidP="005579C3">
      <w:pPr>
        <w:pStyle w:val="Textonotapie"/>
        <w:widowControl/>
        <w:spacing w:beforeLines="20" w:before="48" w:afterLines="20" w:after="48"/>
        <w:rPr>
          <w:sz w:val="16"/>
          <w:szCs w:val="16"/>
        </w:rPr>
      </w:pPr>
      <w:r w:rsidRPr="00936AED">
        <w:rPr>
          <w:rStyle w:val="Refdenotaalpie"/>
          <w:sz w:val="16"/>
          <w:szCs w:val="16"/>
        </w:rPr>
        <w:footnoteRef/>
      </w:r>
      <w:r w:rsidRPr="00936AED">
        <w:rPr>
          <w:sz w:val="16"/>
          <w:szCs w:val="16"/>
          <w:lang w:val="en-US"/>
        </w:rPr>
        <w:t xml:space="preserve"> </w:t>
      </w:r>
      <w:r w:rsidRPr="00936AED">
        <w:rPr>
          <w:sz w:val="16"/>
          <w:szCs w:val="16"/>
          <w:lang w:val="en-US"/>
        </w:rPr>
        <w:tab/>
        <w:t xml:space="preserve">Véase: </w:t>
      </w:r>
      <w:hyperlink r:id="rId8" w:history="1">
        <w:r w:rsidRPr="00936AED">
          <w:rPr>
            <w:rStyle w:val="Hipervnculo"/>
            <w:sz w:val="16"/>
            <w:szCs w:val="16"/>
            <w:lang w:val="en-US"/>
          </w:rPr>
          <w:t>https://refugeesmigrants.un.org/definitions</w:t>
        </w:r>
      </w:hyperlink>
      <w:r w:rsidRPr="00936AED">
        <w:rPr>
          <w:sz w:val="16"/>
          <w:szCs w:val="16"/>
          <w:lang w:val="en-US"/>
        </w:rPr>
        <w:t xml:space="preserve"> y UN DESA, Recommendations on Statistics of International Migration, Revision 1 (1998) párr. </w:t>
      </w:r>
      <w:r w:rsidRPr="00936AED">
        <w:rPr>
          <w:sz w:val="16"/>
          <w:szCs w:val="16"/>
        </w:rPr>
        <w:t>32.</w:t>
      </w:r>
    </w:p>
  </w:footnote>
  <w:footnote w:id="156">
    <w:p w14:paraId="16F58A1B" w14:textId="77777777" w:rsidR="005579C3" w:rsidRDefault="005579C3" w:rsidP="005579C3">
      <w:pPr>
        <w:pStyle w:val="Textonotapie"/>
        <w:widowControl/>
        <w:spacing w:beforeLines="20" w:before="48" w:afterLines="20" w:after="48"/>
        <w:rPr>
          <w:sz w:val="16"/>
          <w:szCs w:val="16"/>
        </w:rPr>
      </w:pPr>
      <w:r w:rsidRPr="00936AED">
        <w:rPr>
          <w:rStyle w:val="Refdenotaalpie"/>
          <w:sz w:val="16"/>
          <w:szCs w:val="16"/>
        </w:rPr>
        <w:footnoteRef/>
      </w:r>
      <w:r w:rsidRPr="00936AED">
        <w:rPr>
          <w:sz w:val="16"/>
          <w:szCs w:val="16"/>
        </w:rPr>
        <w:t xml:space="preserve"> </w:t>
      </w:r>
      <w:r w:rsidRPr="00936AED">
        <w:rPr>
          <w:sz w:val="16"/>
          <w:szCs w:val="16"/>
        </w:rPr>
        <w:tab/>
        <w:t xml:space="preserve">Departamento de Asuntos Económicos y Sociales, División de Estadística, Recomendaciones sobre estadísticas de las migraciones internacionales, ST/ESA_/STAT/SER.M/58/Rev.1, párrs. 33 a 37, disponible aquí: </w:t>
      </w:r>
    </w:p>
    <w:p w14:paraId="64BFEF85" w14:textId="77777777" w:rsidR="005579C3" w:rsidRPr="00936AED" w:rsidRDefault="009E306B" w:rsidP="005579C3">
      <w:pPr>
        <w:pStyle w:val="Textonotapie"/>
        <w:widowControl/>
        <w:spacing w:beforeLines="20" w:before="48" w:afterLines="20" w:after="48"/>
        <w:rPr>
          <w:sz w:val="16"/>
          <w:szCs w:val="16"/>
        </w:rPr>
      </w:pPr>
      <w:hyperlink r:id="rId9" w:history="1">
        <w:r w:rsidR="005579C3" w:rsidRPr="00936AED">
          <w:rPr>
            <w:rStyle w:val="Hipervnculo"/>
            <w:sz w:val="16"/>
            <w:szCs w:val="16"/>
          </w:rPr>
          <w:t>https://unstats.un.org/unsd/demographic-social/Standards-and-Methods/files/Principles_and_Recommendations/International-Migration/SeriesM_58rev1-S.pdf</w:t>
        </w:r>
      </w:hyperlink>
      <w:r w:rsidR="005579C3" w:rsidRPr="00936AED">
        <w:rPr>
          <w:sz w:val="16"/>
          <w:szCs w:val="16"/>
        </w:rPr>
        <w:t xml:space="preserve"> </w:t>
      </w:r>
    </w:p>
  </w:footnote>
  <w:footnote w:id="157">
    <w:p w14:paraId="3254A69F" w14:textId="547BFA99" w:rsidR="005579C3" w:rsidRPr="00310489" w:rsidRDefault="005579C3" w:rsidP="00384C53">
      <w:pPr>
        <w:pStyle w:val="Textonotapie"/>
        <w:spacing w:beforeLines="20" w:before="48" w:afterLines="20" w:after="48"/>
        <w:rPr>
          <w:sz w:val="16"/>
          <w:szCs w:val="16"/>
        </w:rPr>
      </w:pPr>
      <w:r w:rsidRPr="00310489">
        <w:rPr>
          <w:rStyle w:val="Refdenotaalpie"/>
          <w:sz w:val="16"/>
          <w:szCs w:val="16"/>
        </w:rPr>
        <w:footnoteRef/>
      </w:r>
      <w:r w:rsidRPr="00310489">
        <w:rPr>
          <w:sz w:val="16"/>
          <w:szCs w:val="16"/>
        </w:rPr>
        <w:t xml:space="preserve"> </w:t>
      </w:r>
      <w:r w:rsidRPr="00310489">
        <w:rPr>
          <w:sz w:val="16"/>
          <w:szCs w:val="16"/>
        </w:rPr>
        <w:tab/>
        <w:t xml:space="preserve">OHCHR, Principios y Directrices recomendados sobre los derechos humanos en las fronteras internacionales, párr. 10, nota al pie no.2, disponible en: </w:t>
      </w:r>
      <w:hyperlink r:id="rId10" w:history="1">
        <w:r w:rsidRPr="00310489">
          <w:rPr>
            <w:rStyle w:val="Hipervnculo"/>
            <w:sz w:val="16"/>
            <w:szCs w:val="16"/>
          </w:rPr>
          <w:t>https://www.ohchr.org/Documents/Issues/Migration/OHCHR_Recommended_Principles_Guidelines_SP.pdf</w:t>
        </w:r>
      </w:hyperlink>
      <w:r w:rsidRPr="00310489">
        <w:rPr>
          <w:sz w:val="16"/>
          <w:szCs w:val="16"/>
        </w:rPr>
        <w:t xml:space="preserve"> </w:t>
      </w:r>
    </w:p>
  </w:footnote>
  <w:footnote w:id="158">
    <w:p w14:paraId="7488EB6A" w14:textId="77777777" w:rsidR="005579C3" w:rsidRPr="00384C53" w:rsidRDefault="005579C3" w:rsidP="00384C53">
      <w:pPr>
        <w:spacing w:beforeLines="20" w:before="48" w:afterLines="20" w:after="48"/>
        <w:rPr>
          <w:color w:val="000000" w:themeColor="text1"/>
          <w:sz w:val="16"/>
          <w:szCs w:val="16"/>
        </w:rPr>
      </w:pPr>
      <w:r w:rsidRPr="00310489">
        <w:rPr>
          <w:rStyle w:val="Refdenotaalpie"/>
          <w:sz w:val="16"/>
          <w:szCs w:val="16"/>
        </w:rPr>
        <w:footnoteRef/>
      </w:r>
      <w:r w:rsidRPr="00384C53">
        <w:rPr>
          <w:sz w:val="16"/>
          <w:szCs w:val="16"/>
        </w:rPr>
        <w:t xml:space="preserve"> </w:t>
      </w:r>
      <w:r w:rsidRPr="00384C53">
        <w:rPr>
          <w:sz w:val="16"/>
          <w:szCs w:val="16"/>
        </w:rPr>
        <w:tab/>
        <w:t xml:space="preserve">Ver, a título de ejemplo, </w:t>
      </w:r>
      <w:r w:rsidRPr="00384C53">
        <w:rPr>
          <w:color w:val="000000" w:themeColor="text1"/>
          <w:sz w:val="16"/>
          <w:szCs w:val="16"/>
          <w:shd w:val="clear" w:color="auto" w:fill="FFFFFF"/>
        </w:rPr>
        <w:t xml:space="preserve">Convenio relativo a los trabajadores migrantes (No. 97), el Convenio sobre las migraciones en condiciones abusivas y la promoción de la igualdad de oportunidades y de trato de los trabajadores migrantes (No. 143), la Recomendación sobre los trabajadores migrantes (No. 86), la Recomendación sobre los trabajadores migrantes (No.151), el Convenio relativo al trabajo forzoso u obligatorio (No. 29) y el Convenio relativo a la abolición del trabajo forzoso (No. 105). </w:t>
      </w:r>
    </w:p>
  </w:footnote>
  <w:footnote w:id="159">
    <w:p w14:paraId="43BC308D" w14:textId="77777777" w:rsidR="005579C3" w:rsidRPr="00310489" w:rsidRDefault="005579C3" w:rsidP="00384C53">
      <w:pPr>
        <w:pStyle w:val="Textonotapie"/>
        <w:rPr>
          <w:sz w:val="16"/>
          <w:szCs w:val="16"/>
        </w:rPr>
      </w:pPr>
      <w:r w:rsidRPr="00310489">
        <w:rPr>
          <w:rStyle w:val="Refdenotaalpie"/>
          <w:sz w:val="16"/>
          <w:szCs w:val="16"/>
        </w:rPr>
        <w:footnoteRef/>
      </w:r>
      <w:r w:rsidRPr="00310489">
        <w:rPr>
          <w:sz w:val="16"/>
          <w:szCs w:val="16"/>
        </w:rPr>
        <w:t xml:space="preserve"> </w:t>
      </w:r>
      <w:r w:rsidRPr="00310489">
        <w:rPr>
          <w:sz w:val="16"/>
          <w:szCs w:val="16"/>
        </w:rPr>
        <w:tab/>
        <w:t xml:space="preserve">OIM, Glosario sobre migración, Derecho Internacional Sobre Migración, no. 7, disponible aquí: </w:t>
      </w:r>
      <w:hyperlink r:id="rId11" w:history="1">
        <w:r w:rsidRPr="00310489">
          <w:rPr>
            <w:rStyle w:val="Hipervnculo"/>
            <w:sz w:val="16"/>
            <w:szCs w:val="16"/>
          </w:rPr>
          <w:t>https://publications.iom.int/system/files/pdf/iml_7_sp.pdf</w:t>
        </w:r>
      </w:hyperlink>
      <w:r w:rsidRPr="00310489">
        <w:rPr>
          <w:sz w:val="16"/>
          <w:szCs w:val="16"/>
        </w:rPr>
        <w:t xml:space="preserve"> </w:t>
      </w:r>
    </w:p>
  </w:footnote>
  <w:footnote w:id="160">
    <w:p w14:paraId="259F728E" w14:textId="77777777" w:rsidR="005579C3" w:rsidRPr="00936AED" w:rsidRDefault="005579C3" w:rsidP="00384C53">
      <w:pPr>
        <w:pStyle w:val="Textonotapie"/>
        <w:rPr>
          <w:sz w:val="16"/>
          <w:szCs w:val="16"/>
        </w:rPr>
      </w:pPr>
      <w:r w:rsidRPr="00310489">
        <w:rPr>
          <w:rStyle w:val="Refdenotaalpie"/>
          <w:sz w:val="16"/>
          <w:szCs w:val="16"/>
        </w:rPr>
        <w:footnoteRef/>
      </w:r>
      <w:r w:rsidRPr="00310489">
        <w:rPr>
          <w:sz w:val="16"/>
          <w:szCs w:val="16"/>
        </w:rPr>
        <w:t xml:space="preserve"> </w:t>
      </w:r>
      <w:r w:rsidRPr="00310489">
        <w:rPr>
          <w:sz w:val="16"/>
          <w:szCs w:val="16"/>
        </w:rPr>
        <w:tab/>
        <w:t xml:space="preserve">Esto es, quien “debido a fundados temores de ser perseguida por motivos de raza, religión, nacionalidad, pertenencia a determinado grupo social u opiniones políticas, se encuentre fuera del país de su nacionalidad y no pueda o, a causa de dichos temores, no quiera acogerse a la protección de tal país; o que, careciendo de nacionalidad y hallándose, a consecuencia de tales acontecimientos, fuera del país donde antes tuviera su residencia habitual, no pueda o, a causa de dichos temores, no quiera regresar a él”. </w:t>
      </w:r>
      <w:r w:rsidRPr="00310489">
        <w:rPr>
          <w:i/>
          <w:sz w:val="16"/>
          <w:szCs w:val="16"/>
        </w:rPr>
        <w:t>Cfr</w:t>
      </w:r>
      <w:r w:rsidRPr="00310489">
        <w:rPr>
          <w:sz w:val="16"/>
          <w:szCs w:val="16"/>
        </w:rPr>
        <w:t>. Convención sobre el estatuto de los refugiados, artículo 1.</w:t>
      </w:r>
    </w:p>
  </w:footnote>
  <w:footnote w:id="161">
    <w:p w14:paraId="70FA898D" w14:textId="77777777" w:rsidR="005579C3" w:rsidRPr="00936AED" w:rsidRDefault="005579C3" w:rsidP="0084184A">
      <w:pPr>
        <w:pStyle w:val="Textonotapie"/>
        <w:spacing w:before="20" w:after="20"/>
        <w:rPr>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sz w:val="16"/>
          <w:szCs w:val="16"/>
        </w:rPr>
        <w:t xml:space="preserve">Condición jurídica y derechos de los migrantes indocumentados. </w:t>
      </w:r>
      <w:r w:rsidRPr="00936AED">
        <w:rPr>
          <w:sz w:val="16"/>
          <w:szCs w:val="16"/>
        </w:rPr>
        <w:t>Opinión Consultiva OC-18/03 de 17 de septiembre de 2003. Serie A No. 18, párr. 101.</w:t>
      </w:r>
    </w:p>
  </w:footnote>
  <w:footnote w:id="162">
    <w:p w14:paraId="567BC980" w14:textId="77777777" w:rsidR="005579C3" w:rsidRPr="00936AED" w:rsidRDefault="005579C3" w:rsidP="0084184A">
      <w:pPr>
        <w:pStyle w:val="Textonotapie"/>
        <w:spacing w:before="20" w:after="20"/>
        <w:rPr>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sz w:val="16"/>
          <w:szCs w:val="16"/>
        </w:rPr>
        <w:t xml:space="preserve">El derecho a la información sobre la asistencia consular en el marco de las garantías del debido proceso legal. </w:t>
      </w:r>
      <w:r w:rsidRPr="00936AED">
        <w:rPr>
          <w:sz w:val="16"/>
          <w:szCs w:val="16"/>
        </w:rPr>
        <w:t>Opinión Consultiva OC-16/99 de 1 de octubre de 1999. Serie A No. 16.</w:t>
      </w:r>
    </w:p>
  </w:footnote>
  <w:footnote w:id="163">
    <w:p w14:paraId="65EE2743" w14:textId="77777777" w:rsidR="005579C3" w:rsidRPr="00936AED" w:rsidRDefault="005579C3" w:rsidP="0084184A">
      <w:pPr>
        <w:pStyle w:val="Textonotapie"/>
        <w:spacing w:before="20" w:after="20"/>
        <w:rPr>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sz w:val="16"/>
          <w:szCs w:val="16"/>
        </w:rPr>
        <w:t>Condición jurídica y derechos de los migrantes indocumentados,</w:t>
      </w:r>
      <w:r w:rsidRPr="00936AED">
        <w:rPr>
          <w:sz w:val="16"/>
          <w:szCs w:val="16"/>
        </w:rPr>
        <w:t xml:space="preserve"> Opinión Consultiva OC-18/03,</w:t>
      </w:r>
      <w:r w:rsidRPr="00936AED">
        <w:rPr>
          <w:i/>
          <w:sz w:val="16"/>
          <w:szCs w:val="16"/>
        </w:rPr>
        <w:t xml:space="preserve"> supra.</w:t>
      </w:r>
    </w:p>
  </w:footnote>
  <w:footnote w:id="164">
    <w:p w14:paraId="7C652787" w14:textId="77777777" w:rsidR="005579C3" w:rsidRPr="00936AED" w:rsidRDefault="005579C3" w:rsidP="0084184A">
      <w:pPr>
        <w:pStyle w:val="Textonotapie"/>
        <w:spacing w:before="20" w:after="20"/>
        <w:rPr>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sz w:val="16"/>
          <w:szCs w:val="16"/>
        </w:rPr>
        <w:t xml:space="preserve">Derechos y garantías de niñas y niños en el contexto de la migración y/o en necesidad de protección internacional. </w:t>
      </w:r>
      <w:r w:rsidRPr="00936AED">
        <w:rPr>
          <w:sz w:val="16"/>
          <w:szCs w:val="16"/>
        </w:rPr>
        <w:t>Opinión Consultiva OC-21/14 de 19 de agosto de 2014. Serie A No. 21.</w:t>
      </w:r>
      <w:r w:rsidRPr="00936AED">
        <w:rPr>
          <w:sz w:val="16"/>
          <w:szCs w:val="16"/>
        </w:rPr>
        <w:tab/>
      </w:r>
    </w:p>
  </w:footnote>
  <w:footnote w:id="165">
    <w:p w14:paraId="4FAA5F5A" w14:textId="77777777" w:rsidR="005579C3" w:rsidRPr="00936AED" w:rsidRDefault="005579C3" w:rsidP="0084184A">
      <w:pPr>
        <w:pStyle w:val="Textonotapie"/>
        <w:spacing w:before="20" w:after="20"/>
        <w:rPr>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sz w:val="16"/>
          <w:szCs w:val="16"/>
        </w:rPr>
        <w:t>El derecho a la información sobre la asistencia consular en el marco de las garantías del debido proceso legal.</w:t>
      </w:r>
      <w:r w:rsidRPr="00936AED">
        <w:rPr>
          <w:sz w:val="16"/>
          <w:szCs w:val="16"/>
        </w:rPr>
        <w:t xml:space="preserve"> Opinión Consultiva OC-16/99, </w:t>
      </w:r>
      <w:r w:rsidRPr="00936AED">
        <w:rPr>
          <w:i/>
          <w:sz w:val="16"/>
          <w:szCs w:val="16"/>
        </w:rPr>
        <w:t>supra</w:t>
      </w:r>
      <w:r w:rsidRPr="00936AED">
        <w:rPr>
          <w:sz w:val="16"/>
          <w:szCs w:val="16"/>
        </w:rPr>
        <w:t>, puntos resolutivos 1, 3 y 7.</w:t>
      </w:r>
    </w:p>
  </w:footnote>
  <w:footnote w:id="166">
    <w:p w14:paraId="5618DC88" w14:textId="77777777" w:rsidR="005579C3" w:rsidRPr="00936AED" w:rsidRDefault="005579C3" w:rsidP="0084184A">
      <w:pPr>
        <w:pStyle w:val="Textonotapie"/>
        <w:spacing w:before="20" w:after="20"/>
        <w:rPr>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iCs/>
          <w:sz w:val="16"/>
          <w:szCs w:val="16"/>
        </w:rPr>
        <w:t>Ibid.</w:t>
      </w:r>
      <w:r w:rsidRPr="00936AED">
        <w:rPr>
          <w:sz w:val="16"/>
          <w:szCs w:val="16"/>
        </w:rPr>
        <w:t>, párr. 80. Énfasis añadido.</w:t>
      </w:r>
    </w:p>
  </w:footnote>
  <w:footnote w:id="167">
    <w:p w14:paraId="12D12945" w14:textId="77777777" w:rsidR="005579C3" w:rsidRPr="00936AED" w:rsidRDefault="005579C3" w:rsidP="0084184A">
      <w:pPr>
        <w:pStyle w:val="Textonotapie"/>
        <w:spacing w:before="20" w:after="20"/>
        <w:rPr>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sz w:val="16"/>
          <w:szCs w:val="16"/>
        </w:rPr>
        <w:t>Condición jurídica y derechos de los migrantes indocumentados. Opinión Consultiva OC-18/03</w:t>
      </w:r>
      <w:r w:rsidRPr="00936AED">
        <w:rPr>
          <w:sz w:val="16"/>
          <w:szCs w:val="16"/>
        </w:rPr>
        <w:t xml:space="preserve">, </w:t>
      </w:r>
      <w:r w:rsidRPr="00936AED">
        <w:rPr>
          <w:i/>
          <w:sz w:val="16"/>
          <w:szCs w:val="16"/>
        </w:rPr>
        <w:t>supra</w:t>
      </w:r>
      <w:r w:rsidRPr="00936AED">
        <w:rPr>
          <w:sz w:val="16"/>
          <w:szCs w:val="16"/>
        </w:rPr>
        <w:t>, párr. 83.</w:t>
      </w:r>
    </w:p>
  </w:footnote>
  <w:footnote w:id="168">
    <w:p w14:paraId="7D290A10" w14:textId="77777777" w:rsidR="005579C3" w:rsidRPr="00936AED" w:rsidRDefault="005579C3" w:rsidP="0084184A">
      <w:pPr>
        <w:pStyle w:val="Textonotapie"/>
        <w:spacing w:before="20" w:after="20"/>
        <w:rPr>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iCs/>
          <w:sz w:val="16"/>
          <w:szCs w:val="16"/>
        </w:rPr>
        <w:t>Ibid.</w:t>
      </w:r>
      <w:r w:rsidRPr="00936AED">
        <w:rPr>
          <w:sz w:val="16"/>
          <w:szCs w:val="16"/>
        </w:rPr>
        <w:t>, párr. 104.</w:t>
      </w:r>
    </w:p>
  </w:footnote>
  <w:footnote w:id="169">
    <w:p w14:paraId="2A740B63" w14:textId="77777777" w:rsidR="005579C3" w:rsidRPr="00936AED" w:rsidRDefault="005579C3" w:rsidP="0084184A">
      <w:pPr>
        <w:pStyle w:val="Textonotapie"/>
        <w:spacing w:before="20" w:after="20"/>
        <w:rPr>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iCs/>
          <w:sz w:val="16"/>
          <w:szCs w:val="16"/>
        </w:rPr>
        <w:t>Ibid.</w:t>
      </w:r>
      <w:r w:rsidRPr="00936AED">
        <w:rPr>
          <w:sz w:val="16"/>
          <w:szCs w:val="16"/>
        </w:rPr>
        <w:t>, párr. 112.</w:t>
      </w:r>
    </w:p>
  </w:footnote>
  <w:footnote w:id="170">
    <w:p w14:paraId="40E5AD4E" w14:textId="77777777" w:rsidR="005579C3" w:rsidRPr="00936AED" w:rsidRDefault="005579C3" w:rsidP="0084184A">
      <w:pPr>
        <w:pStyle w:val="Textonotapie"/>
        <w:rPr>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iCs/>
          <w:sz w:val="16"/>
          <w:szCs w:val="16"/>
        </w:rPr>
        <w:t>Ibid.</w:t>
      </w:r>
      <w:r w:rsidRPr="00936AED">
        <w:rPr>
          <w:sz w:val="16"/>
          <w:szCs w:val="16"/>
        </w:rPr>
        <w:t>, párr. 69.</w:t>
      </w:r>
    </w:p>
  </w:footnote>
  <w:footnote w:id="171">
    <w:p w14:paraId="46366918" w14:textId="77777777" w:rsidR="005579C3" w:rsidRPr="00936AED" w:rsidRDefault="005579C3" w:rsidP="0084184A">
      <w:pPr>
        <w:pStyle w:val="Textonotapie"/>
        <w:spacing w:before="20" w:after="20"/>
        <w:rPr>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sz w:val="16"/>
          <w:szCs w:val="16"/>
        </w:rPr>
        <w:t>Derechos y garantías de niñas y niños en el contexto de la migración y/o en necesidad de protección internacional.</w:t>
      </w:r>
      <w:r w:rsidRPr="00936AED">
        <w:rPr>
          <w:sz w:val="16"/>
          <w:szCs w:val="16"/>
        </w:rPr>
        <w:t xml:space="preserve"> Opinión Consultiva OC-21/14, </w:t>
      </w:r>
      <w:r w:rsidRPr="00936AED">
        <w:rPr>
          <w:i/>
          <w:sz w:val="16"/>
          <w:szCs w:val="16"/>
        </w:rPr>
        <w:t>supra</w:t>
      </w:r>
      <w:r w:rsidRPr="00936AED">
        <w:rPr>
          <w:sz w:val="16"/>
          <w:szCs w:val="16"/>
        </w:rPr>
        <w:t>, párr.49.</w:t>
      </w:r>
    </w:p>
  </w:footnote>
  <w:footnote w:id="172">
    <w:p w14:paraId="306A9CCE" w14:textId="77777777" w:rsidR="005579C3" w:rsidRPr="00936AED" w:rsidRDefault="005579C3" w:rsidP="0084184A">
      <w:pPr>
        <w:pStyle w:val="Textonotapie"/>
        <w:rPr>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sz w:val="16"/>
          <w:szCs w:val="16"/>
        </w:rPr>
        <w:t>Ibid.</w:t>
      </w:r>
      <w:r w:rsidRPr="00936AED">
        <w:rPr>
          <w:sz w:val="16"/>
          <w:szCs w:val="16"/>
        </w:rPr>
        <w:t>, párr. 36. Énfasis añadido.</w:t>
      </w:r>
    </w:p>
  </w:footnote>
  <w:footnote w:id="173">
    <w:p w14:paraId="050E5192" w14:textId="77777777" w:rsidR="005579C3" w:rsidRPr="00936AED" w:rsidRDefault="005579C3" w:rsidP="0084184A">
      <w:pPr>
        <w:pStyle w:val="Textonotapie"/>
        <w:spacing w:before="20" w:after="20"/>
        <w:rPr>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iCs/>
          <w:sz w:val="16"/>
          <w:szCs w:val="16"/>
        </w:rPr>
        <w:t>Caso de las niñas Yean y Bosico Vs. República Dominicana</w:t>
      </w:r>
      <w:r w:rsidRPr="00936AED">
        <w:rPr>
          <w:sz w:val="16"/>
          <w:szCs w:val="16"/>
        </w:rPr>
        <w:t>. Sentencia de 8 de septiembre de 2005. Serie C No. 130.</w:t>
      </w:r>
    </w:p>
  </w:footnote>
  <w:footnote w:id="174">
    <w:p w14:paraId="115C1380" w14:textId="77777777" w:rsidR="005579C3" w:rsidRPr="00936AED" w:rsidRDefault="005579C3" w:rsidP="0084184A">
      <w:pPr>
        <w:pStyle w:val="Textonotapie"/>
        <w:spacing w:before="20" w:after="20"/>
        <w:rPr>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iCs/>
          <w:sz w:val="16"/>
          <w:szCs w:val="16"/>
        </w:rPr>
        <w:t>Ibid.</w:t>
      </w:r>
      <w:r w:rsidRPr="00936AED">
        <w:rPr>
          <w:sz w:val="16"/>
          <w:szCs w:val="16"/>
        </w:rPr>
        <w:t>, párr. 156.</w:t>
      </w:r>
    </w:p>
  </w:footnote>
  <w:footnote w:id="175">
    <w:p w14:paraId="1464D797" w14:textId="77777777" w:rsidR="005579C3" w:rsidRPr="00936AED" w:rsidRDefault="005579C3" w:rsidP="0084184A">
      <w:pPr>
        <w:pStyle w:val="Textonotapie"/>
        <w:spacing w:before="20" w:after="20"/>
        <w:rPr>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iCs/>
          <w:sz w:val="16"/>
          <w:szCs w:val="16"/>
        </w:rPr>
        <w:t xml:space="preserve">Caso Vélez Loor Vs. Panamá. Excepciones Preliminares, Fondo, Reparaciones y Costas. </w:t>
      </w:r>
      <w:r w:rsidRPr="00936AED">
        <w:rPr>
          <w:sz w:val="16"/>
          <w:szCs w:val="16"/>
        </w:rPr>
        <w:t>Sentencia de 23 de noviembre de 2010. Serie C No. 218.</w:t>
      </w:r>
    </w:p>
  </w:footnote>
  <w:footnote w:id="176">
    <w:p w14:paraId="7BAF7745" w14:textId="77777777" w:rsidR="005579C3" w:rsidRPr="00936AED" w:rsidRDefault="005579C3" w:rsidP="0084184A">
      <w:pPr>
        <w:pStyle w:val="Textonotapie"/>
        <w:spacing w:before="20" w:after="20"/>
        <w:rPr>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iCs/>
          <w:sz w:val="16"/>
          <w:szCs w:val="16"/>
        </w:rPr>
        <w:t>Ibid.</w:t>
      </w:r>
      <w:r w:rsidRPr="00936AED">
        <w:rPr>
          <w:sz w:val="16"/>
          <w:szCs w:val="16"/>
        </w:rPr>
        <w:t xml:space="preserve"> párr. 98.</w:t>
      </w:r>
    </w:p>
  </w:footnote>
  <w:footnote w:id="177">
    <w:p w14:paraId="157F93D8" w14:textId="77777777" w:rsidR="005579C3" w:rsidRPr="00936AED" w:rsidRDefault="005579C3" w:rsidP="0084184A">
      <w:pPr>
        <w:pStyle w:val="Textonotapie"/>
        <w:spacing w:before="20" w:after="20"/>
        <w:rPr>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iCs/>
          <w:sz w:val="16"/>
          <w:szCs w:val="16"/>
        </w:rPr>
        <w:t>Idem</w:t>
      </w:r>
      <w:r w:rsidRPr="00936AED">
        <w:rPr>
          <w:sz w:val="16"/>
          <w:szCs w:val="16"/>
        </w:rPr>
        <w:t>.</w:t>
      </w:r>
    </w:p>
  </w:footnote>
  <w:footnote w:id="178">
    <w:p w14:paraId="5A579005" w14:textId="77777777" w:rsidR="005579C3" w:rsidRPr="00936AED" w:rsidRDefault="005579C3" w:rsidP="0084184A">
      <w:pPr>
        <w:pStyle w:val="Textonotapie"/>
        <w:spacing w:before="20" w:after="20"/>
        <w:rPr>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iCs/>
          <w:sz w:val="16"/>
          <w:szCs w:val="16"/>
        </w:rPr>
        <w:t>Ibid.</w:t>
      </w:r>
      <w:r w:rsidRPr="00936AED">
        <w:rPr>
          <w:sz w:val="16"/>
          <w:szCs w:val="16"/>
        </w:rPr>
        <w:t xml:space="preserve"> párr. 99.</w:t>
      </w:r>
    </w:p>
  </w:footnote>
  <w:footnote w:id="179">
    <w:p w14:paraId="6C3D05C0" w14:textId="77777777" w:rsidR="005579C3" w:rsidRPr="00936AED" w:rsidRDefault="005579C3" w:rsidP="0084184A">
      <w:pPr>
        <w:pStyle w:val="Textonotapie"/>
        <w:spacing w:before="20" w:after="20"/>
        <w:rPr>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iCs/>
          <w:sz w:val="16"/>
          <w:szCs w:val="16"/>
        </w:rPr>
        <w:t>Ibid.</w:t>
      </w:r>
      <w:r w:rsidRPr="00936AED">
        <w:rPr>
          <w:sz w:val="16"/>
          <w:szCs w:val="16"/>
        </w:rPr>
        <w:t xml:space="preserve"> párr. 149.</w:t>
      </w:r>
    </w:p>
  </w:footnote>
  <w:footnote w:id="180">
    <w:p w14:paraId="7C129334" w14:textId="77777777" w:rsidR="005579C3" w:rsidRPr="00936AED" w:rsidRDefault="005579C3" w:rsidP="0084184A">
      <w:pPr>
        <w:pStyle w:val="Textonotapie"/>
        <w:spacing w:before="20" w:after="20"/>
        <w:rPr>
          <w:iCs/>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sz w:val="16"/>
          <w:szCs w:val="16"/>
        </w:rPr>
        <w:t>C</w:t>
      </w:r>
      <w:r w:rsidRPr="00936AED">
        <w:rPr>
          <w:i/>
          <w:iCs/>
          <w:sz w:val="16"/>
          <w:szCs w:val="16"/>
        </w:rPr>
        <w:t xml:space="preserve">aso Familia Pacheco Tineo Vs. Bolivia. Excepciones Preliminares, Fondo, Reparaciones y Costas. </w:t>
      </w:r>
      <w:r w:rsidRPr="00936AED">
        <w:rPr>
          <w:iCs/>
          <w:sz w:val="16"/>
          <w:szCs w:val="16"/>
        </w:rPr>
        <w:t>Sentencia de 25 de noviembre de 2013. Serie C No.</w:t>
      </w:r>
    </w:p>
  </w:footnote>
  <w:footnote w:id="181">
    <w:p w14:paraId="6FA626DA" w14:textId="77777777" w:rsidR="005579C3" w:rsidRPr="00936AED" w:rsidRDefault="005579C3" w:rsidP="0084184A">
      <w:pPr>
        <w:pStyle w:val="Textonotapie"/>
        <w:spacing w:before="20" w:after="20"/>
        <w:rPr>
          <w:sz w:val="16"/>
          <w:szCs w:val="16"/>
        </w:rPr>
      </w:pPr>
      <w:r w:rsidRPr="00936AED">
        <w:rPr>
          <w:rStyle w:val="Refdenotaalpie"/>
          <w:sz w:val="16"/>
          <w:szCs w:val="16"/>
        </w:rPr>
        <w:footnoteRef/>
      </w:r>
      <w:r w:rsidRPr="00936AED">
        <w:rPr>
          <w:sz w:val="16"/>
          <w:szCs w:val="16"/>
        </w:rPr>
        <w:t xml:space="preserve"> </w:t>
      </w:r>
      <w:r w:rsidRPr="00936AED">
        <w:rPr>
          <w:sz w:val="16"/>
          <w:szCs w:val="16"/>
        </w:rPr>
        <w:tab/>
        <w:t xml:space="preserve">Declaración de la Corte Interamericana de Derechos Humanos 1/20, </w:t>
      </w:r>
      <w:r w:rsidRPr="00936AED">
        <w:rPr>
          <w:i/>
          <w:sz w:val="16"/>
          <w:szCs w:val="16"/>
        </w:rPr>
        <w:t>“Covid-19 y Derechos Humanos: los problemas y desafíos deben ser abordados con perspectiva de derechos humanos y respetando las obligaciones internacionales”</w:t>
      </w:r>
      <w:r w:rsidRPr="00936AED">
        <w:rPr>
          <w:sz w:val="16"/>
          <w:szCs w:val="16"/>
        </w:rPr>
        <w:t xml:space="preserve">, de 9 de abril de 2020, disponible aquí: </w:t>
      </w:r>
      <w:hyperlink r:id="rId12" w:history="1">
        <w:r w:rsidRPr="00936AED">
          <w:rPr>
            <w:rStyle w:val="Hipervnculo"/>
            <w:sz w:val="16"/>
            <w:szCs w:val="16"/>
          </w:rPr>
          <w:t>http://www.corteidh.or.cr/docs/comunicados/cp_27_2020.pdf</w:t>
        </w:r>
      </w:hyperlink>
      <w:r w:rsidRPr="00936AED">
        <w:rPr>
          <w:sz w:val="16"/>
          <w:szCs w:val="16"/>
        </w:rPr>
        <w:t xml:space="preserve"> </w:t>
      </w:r>
    </w:p>
  </w:footnote>
  <w:footnote w:id="182">
    <w:p w14:paraId="542D67DD" w14:textId="77777777" w:rsidR="005579C3" w:rsidRPr="00936AED" w:rsidRDefault="005579C3" w:rsidP="0084184A">
      <w:pPr>
        <w:pStyle w:val="Textonotapie"/>
        <w:spacing w:before="20" w:after="20"/>
        <w:rPr>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iCs/>
          <w:sz w:val="16"/>
          <w:szCs w:val="16"/>
        </w:rPr>
        <w:t>Ibid.</w:t>
      </w:r>
      <w:r w:rsidRPr="00936AED">
        <w:rPr>
          <w:sz w:val="16"/>
          <w:szCs w:val="16"/>
        </w:rPr>
        <w:t xml:space="preserve"> </w:t>
      </w:r>
    </w:p>
  </w:footnote>
  <w:footnote w:id="183">
    <w:p w14:paraId="6CF66E10" w14:textId="77777777" w:rsidR="005579C3" w:rsidRPr="00936AED" w:rsidRDefault="005579C3" w:rsidP="0084184A">
      <w:pPr>
        <w:pStyle w:val="Textonotapie"/>
        <w:spacing w:before="20" w:after="20"/>
        <w:rPr>
          <w:sz w:val="16"/>
          <w:szCs w:val="16"/>
        </w:rPr>
      </w:pPr>
      <w:r w:rsidRPr="00936AED">
        <w:rPr>
          <w:rStyle w:val="Refdenotaalpie"/>
          <w:sz w:val="16"/>
          <w:szCs w:val="16"/>
        </w:rPr>
        <w:footnoteRef/>
      </w:r>
      <w:r w:rsidRPr="00936AED">
        <w:rPr>
          <w:sz w:val="16"/>
          <w:szCs w:val="16"/>
        </w:rPr>
        <w:t xml:space="preserve"> </w:t>
      </w:r>
      <w:r w:rsidRPr="00936AED">
        <w:rPr>
          <w:sz w:val="16"/>
          <w:szCs w:val="16"/>
        </w:rPr>
        <w:tab/>
        <w:t>Énfasis añadido.</w:t>
      </w:r>
    </w:p>
  </w:footnote>
  <w:footnote w:id="184">
    <w:p w14:paraId="44E9416A" w14:textId="77777777" w:rsidR="005579C3" w:rsidRPr="00936AED" w:rsidRDefault="005579C3" w:rsidP="0084184A">
      <w:pPr>
        <w:pStyle w:val="Textonotapie"/>
        <w:spacing w:before="20" w:after="20"/>
        <w:rPr>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iCs/>
          <w:sz w:val="16"/>
          <w:szCs w:val="16"/>
        </w:rPr>
        <w:t>Caso Vélez Loor Vs. Panamá. Medidas Provisionales</w:t>
      </w:r>
      <w:r w:rsidRPr="00936AED">
        <w:rPr>
          <w:sz w:val="16"/>
          <w:szCs w:val="16"/>
        </w:rPr>
        <w:t xml:space="preserve">. </w:t>
      </w:r>
      <w:r w:rsidRPr="00936AED">
        <w:rPr>
          <w:i/>
          <w:iCs/>
          <w:sz w:val="16"/>
          <w:szCs w:val="16"/>
        </w:rPr>
        <w:t>Adopción de Medidas Urgentes</w:t>
      </w:r>
      <w:r w:rsidRPr="00936AED">
        <w:rPr>
          <w:sz w:val="16"/>
          <w:szCs w:val="16"/>
        </w:rPr>
        <w:t>. Resolución de la Presidenta de la Corte Interamericana de Derechos Humanos de 26 de mayo de 2020.</w:t>
      </w:r>
    </w:p>
  </w:footnote>
  <w:footnote w:id="185">
    <w:p w14:paraId="437F6509" w14:textId="77777777" w:rsidR="005579C3" w:rsidRPr="00936AED" w:rsidRDefault="005579C3" w:rsidP="0084184A">
      <w:pPr>
        <w:pStyle w:val="Textonotapie"/>
        <w:spacing w:beforeLines="20" w:before="48" w:afterLines="20" w:after="48"/>
        <w:rPr>
          <w:rFonts w:cs="Vani"/>
          <w:sz w:val="16"/>
          <w:szCs w:val="16"/>
        </w:rPr>
      </w:pPr>
      <w:r w:rsidRPr="00936AED">
        <w:rPr>
          <w:rStyle w:val="Refdenotaalpie"/>
          <w:rFonts w:cs="Vani"/>
          <w:sz w:val="16"/>
          <w:szCs w:val="16"/>
        </w:rPr>
        <w:footnoteRef/>
      </w:r>
      <w:r w:rsidRPr="00936AED">
        <w:rPr>
          <w:rFonts w:cs="Vani"/>
          <w:sz w:val="16"/>
          <w:szCs w:val="16"/>
        </w:rPr>
        <w:t xml:space="preserve"> OIM, INFORME SOBRE LAS MIGRACIONES EN EL MUNDO 2018https://publications.iom.int/system/files/pdf/wmr_2018_sp.pdf</w:t>
      </w:r>
    </w:p>
  </w:footnote>
  <w:footnote w:id="186">
    <w:p w14:paraId="0953E8D5" w14:textId="77777777" w:rsidR="005579C3" w:rsidRPr="00936AED" w:rsidRDefault="005579C3" w:rsidP="0084184A">
      <w:pPr>
        <w:pStyle w:val="Textonotapie"/>
        <w:spacing w:beforeLines="20" w:before="48" w:afterLines="20" w:after="48"/>
        <w:rPr>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sz w:val="16"/>
          <w:szCs w:val="16"/>
        </w:rPr>
        <w:t>Cfr</w:t>
      </w:r>
      <w:r w:rsidRPr="00936AED">
        <w:rPr>
          <w:sz w:val="16"/>
          <w:szCs w:val="16"/>
        </w:rPr>
        <w:t xml:space="preserve">. Portal de datos mundiales sobre la migración, disponible aquí: </w:t>
      </w:r>
      <w:hyperlink r:id="rId13" w:history="1">
        <w:r w:rsidRPr="00936AED">
          <w:rPr>
            <w:rStyle w:val="Hipervnculo"/>
            <w:sz w:val="16"/>
            <w:szCs w:val="16"/>
          </w:rPr>
          <w:t>https://migrationdataportal.org/es/data?i=stock_abs_&amp;t=2019</w:t>
        </w:r>
      </w:hyperlink>
      <w:r w:rsidRPr="00936AED">
        <w:rPr>
          <w:sz w:val="16"/>
          <w:szCs w:val="16"/>
        </w:rPr>
        <w:t xml:space="preserve"> </w:t>
      </w:r>
    </w:p>
  </w:footnote>
  <w:footnote w:id="187">
    <w:p w14:paraId="7317EFB2" w14:textId="77777777" w:rsidR="005579C3" w:rsidRPr="00936AED" w:rsidRDefault="005579C3" w:rsidP="0084184A">
      <w:pPr>
        <w:pStyle w:val="Textonotapie"/>
        <w:spacing w:beforeLines="20" w:before="48" w:afterLines="20" w:after="48"/>
        <w:rPr>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iCs/>
          <w:sz w:val="16"/>
          <w:szCs w:val="16"/>
        </w:rPr>
        <w:t>Ibid.</w:t>
      </w:r>
    </w:p>
  </w:footnote>
  <w:footnote w:id="188">
    <w:p w14:paraId="785361F8" w14:textId="77777777" w:rsidR="005579C3" w:rsidRPr="00936AED" w:rsidRDefault="005579C3" w:rsidP="0084184A">
      <w:pPr>
        <w:pStyle w:val="Textonotapie"/>
        <w:spacing w:beforeLines="20" w:before="48" w:afterLines="20" w:after="48"/>
        <w:rPr>
          <w:rFonts w:cs="Vani"/>
          <w:sz w:val="16"/>
          <w:szCs w:val="16"/>
        </w:rPr>
      </w:pPr>
      <w:r w:rsidRPr="00936AED">
        <w:rPr>
          <w:rStyle w:val="Refdenotaalpie"/>
          <w:rFonts w:cs="Vani"/>
          <w:sz w:val="16"/>
          <w:szCs w:val="16"/>
        </w:rPr>
        <w:footnoteRef/>
      </w:r>
      <w:r w:rsidRPr="00936AED">
        <w:rPr>
          <w:rFonts w:cs="Vani"/>
          <w:sz w:val="16"/>
          <w:szCs w:val="16"/>
        </w:rPr>
        <w:t xml:space="preserve"> </w:t>
      </w:r>
      <w:r w:rsidRPr="00936AED">
        <w:rPr>
          <w:rFonts w:cs="Vani"/>
          <w:sz w:val="16"/>
          <w:szCs w:val="16"/>
        </w:rPr>
        <w:tab/>
        <w:t xml:space="preserve">Según datos de la CEPAL, “desde 2015 se ha venido observando en la región un aumento en los niveles de pobreza, y especialmente de pobreza extrema, aunque dicha tendencia perdió́ fuerza entre 2017 y 2018. Con todo, la pobreza total en 2018 superó en 2,3 puntos porcentuales a la registrada en 2014, lo que significa un aumento de alrededor de 21 millones de personas. La pobreza extrema creció́ 2,9 puntos porcentuales y aproximadamente 20 millones de personas entre 2014 y 2018”. Comisión Económica para América Latina y el Caribe (CEPAL), “Panorama Social de América Latina”, Ed. 2019, pág. 96, disponible aquí: </w:t>
      </w:r>
      <w:hyperlink r:id="rId14" w:history="1">
        <w:r w:rsidRPr="00936AED">
          <w:rPr>
            <w:rStyle w:val="Hipervnculo"/>
            <w:rFonts w:cs="Vani"/>
            <w:sz w:val="16"/>
            <w:szCs w:val="16"/>
          </w:rPr>
          <w:t>https://repositorio.cepal.org/bitstream/handle/11362/44969/5/S1901133_es.pdf</w:t>
        </w:r>
      </w:hyperlink>
      <w:r w:rsidRPr="00936AED">
        <w:rPr>
          <w:rFonts w:cs="Vani"/>
          <w:sz w:val="16"/>
          <w:szCs w:val="16"/>
        </w:rPr>
        <w:t xml:space="preserve"> </w:t>
      </w:r>
    </w:p>
  </w:footnote>
  <w:footnote w:id="189">
    <w:p w14:paraId="31E24CEC" w14:textId="77777777" w:rsidR="005579C3" w:rsidRPr="00936AED" w:rsidRDefault="005579C3" w:rsidP="0084184A">
      <w:pPr>
        <w:pStyle w:val="Textonotapie"/>
        <w:spacing w:beforeLines="20" w:before="48" w:afterLines="20" w:after="48"/>
        <w:rPr>
          <w:sz w:val="16"/>
          <w:szCs w:val="16"/>
        </w:rPr>
      </w:pPr>
      <w:r w:rsidRPr="00936AED">
        <w:rPr>
          <w:rStyle w:val="Refdenotaalpie"/>
          <w:sz w:val="16"/>
          <w:szCs w:val="16"/>
        </w:rPr>
        <w:footnoteRef/>
      </w:r>
      <w:r w:rsidRPr="00936AED">
        <w:rPr>
          <w:sz w:val="16"/>
          <w:szCs w:val="16"/>
        </w:rPr>
        <w:t xml:space="preserve"> </w:t>
      </w:r>
      <w:r w:rsidRPr="00936AED">
        <w:rPr>
          <w:sz w:val="16"/>
          <w:szCs w:val="16"/>
        </w:rPr>
        <w:tab/>
        <w:t xml:space="preserve">Según datos de la CEPAL, se “[e]n 2018, alrededor del 30,1% de la población regional estaba bajo la línea de pobreza, mientras que un 10,7% se encontraba bajo el umbral de la pobreza extrema. Esto significa que aproximadamente 185 millones de personas se encontraban en situación de pobreza, de las cuales 66 millones estaban en situación de pobreza extrema. </w:t>
      </w:r>
      <w:r w:rsidRPr="00936AED">
        <w:rPr>
          <w:rFonts w:cs="Vani"/>
          <w:sz w:val="16"/>
          <w:szCs w:val="16"/>
        </w:rPr>
        <w:t xml:space="preserve">Comisión Económica para América Latina y el Caribe (CEPAL), “Panorama Social de América Latina”, Ed. 2019, pág. 17, disponible aquí: </w:t>
      </w:r>
      <w:hyperlink r:id="rId15" w:history="1">
        <w:r w:rsidRPr="00936AED">
          <w:rPr>
            <w:rStyle w:val="Hipervnculo"/>
            <w:rFonts w:cs="Vani"/>
            <w:sz w:val="16"/>
            <w:szCs w:val="16"/>
          </w:rPr>
          <w:t>https://repositorio.cepal.org/bitstream/handle/11362/44969/5/S1901133_es.pdf</w:t>
        </w:r>
      </w:hyperlink>
    </w:p>
  </w:footnote>
  <w:footnote w:id="190">
    <w:p w14:paraId="51ADCDE1" w14:textId="77777777" w:rsidR="005579C3" w:rsidRPr="00936AED" w:rsidRDefault="005579C3" w:rsidP="0084184A">
      <w:pPr>
        <w:pStyle w:val="Textonotapie"/>
        <w:spacing w:beforeLines="20" w:before="48" w:afterLines="20" w:after="48"/>
        <w:rPr>
          <w:sz w:val="16"/>
          <w:szCs w:val="16"/>
        </w:rPr>
      </w:pPr>
      <w:r w:rsidRPr="00936AED">
        <w:rPr>
          <w:rStyle w:val="Refdenotaalpie"/>
          <w:sz w:val="16"/>
          <w:szCs w:val="16"/>
        </w:rPr>
        <w:footnoteRef/>
      </w:r>
      <w:r w:rsidRPr="00936AED">
        <w:rPr>
          <w:sz w:val="16"/>
          <w:szCs w:val="16"/>
        </w:rPr>
        <w:t xml:space="preserve"> </w:t>
      </w:r>
      <w:r w:rsidRPr="00936AED">
        <w:rPr>
          <w:sz w:val="16"/>
          <w:szCs w:val="16"/>
        </w:rPr>
        <w:tab/>
        <w:t xml:space="preserve">Existe un reconocimiento académico internacional en torno a la idea de que las condiciones medioambientales, las cuales incluyen el cambio climático, influyen en los flujos de migración. Para más información al respecto, ver: Organización Internacional para las Migraciones, </w:t>
      </w:r>
      <w:r w:rsidRPr="00936AED">
        <w:rPr>
          <w:i/>
          <w:iCs/>
          <w:sz w:val="16"/>
          <w:szCs w:val="16"/>
        </w:rPr>
        <w:t>Climate change, migration and critical internacional security consideration</w:t>
      </w:r>
      <w:r w:rsidRPr="00936AED">
        <w:rPr>
          <w:sz w:val="16"/>
          <w:szCs w:val="16"/>
        </w:rPr>
        <w:t xml:space="preserve">s, No. 42, año 2011, disponible aquí: </w:t>
      </w:r>
      <w:hyperlink r:id="rId16" w:history="1">
        <w:r w:rsidRPr="00936AED">
          <w:rPr>
            <w:rStyle w:val="Hipervnculo"/>
            <w:sz w:val="16"/>
            <w:szCs w:val="16"/>
          </w:rPr>
          <w:t>https://publications.iom.int/es/system/files/pdf/mrs42.pdf</w:t>
        </w:r>
      </w:hyperlink>
      <w:r w:rsidRPr="00936AED">
        <w:rPr>
          <w:sz w:val="16"/>
          <w:szCs w:val="16"/>
        </w:rPr>
        <w:t xml:space="preserve"> </w:t>
      </w:r>
    </w:p>
  </w:footnote>
  <w:footnote w:id="191">
    <w:p w14:paraId="13C009E8" w14:textId="77777777" w:rsidR="005579C3" w:rsidRPr="00936AED" w:rsidRDefault="005579C3" w:rsidP="0084184A">
      <w:pPr>
        <w:pStyle w:val="Textonotapie"/>
        <w:spacing w:beforeLines="20" w:before="48" w:afterLines="20" w:after="48"/>
        <w:rPr>
          <w:sz w:val="16"/>
          <w:szCs w:val="16"/>
        </w:rPr>
      </w:pPr>
      <w:r w:rsidRPr="00936AED">
        <w:rPr>
          <w:rStyle w:val="Refdenotaalpie"/>
          <w:sz w:val="16"/>
          <w:szCs w:val="16"/>
        </w:rPr>
        <w:footnoteRef/>
      </w:r>
      <w:r w:rsidRPr="00936AED">
        <w:rPr>
          <w:sz w:val="16"/>
          <w:szCs w:val="16"/>
        </w:rPr>
        <w:t xml:space="preserve"> </w:t>
      </w:r>
      <w:r w:rsidRPr="00936AED">
        <w:rPr>
          <w:sz w:val="16"/>
          <w:szCs w:val="16"/>
        </w:rPr>
        <w:tab/>
        <w:t xml:space="preserve">Según datos del Banco Mundial, debido a la irrupción de la pandemia mundial por Covid-19 se prevé que la economía mundial se reduzca un 5,2% en el año 2020, lo cual significaría “la peor recesión desde la Segunda Guerra Mundial, y la primera vez desde 1870 en que tantas economías experimentarían una disminución del producto per cápita”. Banco Mundial, </w:t>
      </w:r>
      <w:r w:rsidRPr="00936AED">
        <w:rPr>
          <w:i/>
          <w:iCs/>
          <w:sz w:val="16"/>
          <w:szCs w:val="16"/>
        </w:rPr>
        <w:t>Global Economic Prospects</w:t>
      </w:r>
      <w:r w:rsidRPr="00936AED">
        <w:rPr>
          <w:sz w:val="16"/>
          <w:szCs w:val="16"/>
        </w:rPr>
        <w:t xml:space="preserve">, Junio de 2020, disponible aquí: </w:t>
      </w:r>
      <w:hyperlink r:id="rId17" w:history="1">
        <w:r w:rsidRPr="00936AED">
          <w:rPr>
            <w:rStyle w:val="Hipervnculo"/>
            <w:sz w:val="16"/>
            <w:szCs w:val="16"/>
          </w:rPr>
          <w:t>https://www.bancomundial.org/es/publication/global-economic-prospects</w:t>
        </w:r>
      </w:hyperlink>
      <w:r w:rsidRPr="00936AED">
        <w:rPr>
          <w:sz w:val="16"/>
          <w:szCs w:val="16"/>
        </w:rPr>
        <w:t xml:space="preserve"> </w:t>
      </w:r>
    </w:p>
  </w:footnote>
  <w:footnote w:id="192">
    <w:p w14:paraId="4948C29A" w14:textId="77777777" w:rsidR="005579C3" w:rsidRPr="00936AED" w:rsidRDefault="005579C3" w:rsidP="0084184A">
      <w:pPr>
        <w:pStyle w:val="Textonotapie"/>
        <w:spacing w:beforeLines="20" w:before="48" w:afterLines="20" w:after="48"/>
        <w:rPr>
          <w:sz w:val="16"/>
          <w:szCs w:val="16"/>
        </w:rPr>
      </w:pPr>
      <w:r w:rsidRPr="00936AED">
        <w:rPr>
          <w:rStyle w:val="Refdenotaalpie"/>
          <w:sz w:val="16"/>
          <w:szCs w:val="16"/>
        </w:rPr>
        <w:footnoteRef/>
      </w:r>
      <w:r w:rsidRPr="00936AED">
        <w:rPr>
          <w:sz w:val="16"/>
          <w:szCs w:val="16"/>
        </w:rPr>
        <w:t xml:space="preserve"> </w:t>
      </w:r>
      <w:r w:rsidRPr="00936AED">
        <w:rPr>
          <w:sz w:val="16"/>
          <w:szCs w:val="16"/>
        </w:rPr>
        <w:tab/>
        <w:t xml:space="preserve">Disponible aquí: </w:t>
      </w:r>
      <w:hyperlink r:id="rId18" w:history="1">
        <w:r w:rsidRPr="00936AED">
          <w:rPr>
            <w:rStyle w:val="Hipervnculo"/>
            <w:sz w:val="16"/>
            <w:szCs w:val="16"/>
          </w:rPr>
          <w:t>https://www.un.org/sustainabledevelopment/es/development-agenda/</w:t>
        </w:r>
      </w:hyperlink>
      <w:r w:rsidRPr="00936AED">
        <w:rPr>
          <w:sz w:val="16"/>
          <w:szCs w:val="16"/>
        </w:rPr>
        <w:t xml:space="preserve"> </w:t>
      </w:r>
    </w:p>
  </w:footnote>
  <w:footnote w:id="193">
    <w:p w14:paraId="075E6611" w14:textId="77777777" w:rsidR="005579C3" w:rsidRPr="00936AED" w:rsidRDefault="005579C3" w:rsidP="0084184A">
      <w:pPr>
        <w:pStyle w:val="Textonotapie"/>
        <w:spacing w:before="20" w:after="20"/>
        <w:rPr>
          <w:sz w:val="16"/>
          <w:szCs w:val="16"/>
        </w:rPr>
      </w:pPr>
      <w:r w:rsidRPr="00936AED">
        <w:rPr>
          <w:rStyle w:val="Refdenotaalpie"/>
          <w:sz w:val="16"/>
          <w:szCs w:val="16"/>
        </w:rPr>
        <w:footnoteRef/>
      </w:r>
      <w:r w:rsidRPr="00936AED">
        <w:rPr>
          <w:sz w:val="16"/>
          <w:szCs w:val="16"/>
        </w:rPr>
        <w:t xml:space="preserve"> </w:t>
      </w:r>
      <w:r w:rsidRPr="00936AED">
        <w:rPr>
          <w:sz w:val="16"/>
          <w:szCs w:val="16"/>
        </w:rPr>
        <w:tab/>
      </w:r>
      <w:r w:rsidRPr="00936AED">
        <w:rPr>
          <w:i/>
          <w:iCs/>
          <w:color w:val="000000" w:themeColor="text1"/>
          <w:sz w:val="16"/>
          <w:szCs w:val="16"/>
          <w:shd w:val="clear" w:color="auto" w:fill="FFFFFF"/>
        </w:rPr>
        <w:t>Cfr. Condición Jurídica y Derechos de los Migrantes Indocumentados. Opinión Consultiva OC-18/03, supra,</w:t>
      </w:r>
      <w:r w:rsidRPr="00936AED">
        <w:rPr>
          <w:color w:val="000000" w:themeColor="text1"/>
          <w:sz w:val="16"/>
          <w:szCs w:val="16"/>
          <w:shd w:val="clear" w:color="auto" w:fill="FFFFFF"/>
        </w:rPr>
        <w:t xml:space="preserve"> párr. 119 y 121, y </w:t>
      </w:r>
      <w:r w:rsidRPr="00936AED">
        <w:rPr>
          <w:i/>
          <w:iCs/>
          <w:color w:val="000000" w:themeColor="text1"/>
          <w:sz w:val="16"/>
          <w:szCs w:val="16"/>
          <w:shd w:val="clear" w:color="auto" w:fill="FFFFFF"/>
        </w:rPr>
        <w:t>Caso Vélez Loor Vs. Panamá, supra</w:t>
      </w:r>
      <w:r w:rsidRPr="00936AED">
        <w:rPr>
          <w:color w:val="000000" w:themeColor="text1"/>
          <w:sz w:val="16"/>
          <w:szCs w:val="16"/>
          <w:shd w:val="clear" w:color="auto" w:fill="FFFFFF"/>
        </w:rPr>
        <w:t>, párr. 248.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3A41B" w14:textId="77777777" w:rsidR="005579C3" w:rsidRDefault="005579C3" w:rsidP="00F94D74">
    <w:pPr>
      <w:pStyle w:val="Encabezado"/>
    </w:pPr>
  </w:p>
  <w:p w14:paraId="6DEB6C3C" w14:textId="77777777" w:rsidR="005579C3" w:rsidRDefault="005579C3" w:rsidP="00F94D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D08"/>
    <w:multiLevelType w:val="hybridMultilevel"/>
    <w:tmpl w:val="A350D342"/>
    <w:lvl w:ilvl="0" w:tplc="0C0A0013">
      <w:start w:val="1"/>
      <w:numFmt w:val="upperRoman"/>
      <w:lvlText w:val="%1."/>
      <w:lvlJc w:val="right"/>
      <w:pPr>
        <w:ind w:left="1422" w:hanging="360"/>
      </w:pPr>
    </w:lvl>
    <w:lvl w:ilvl="1" w:tplc="040A0019">
      <w:start w:val="1"/>
      <w:numFmt w:val="lowerLetter"/>
      <w:lvlText w:val="%2."/>
      <w:lvlJc w:val="left"/>
      <w:pPr>
        <w:ind w:left="2142" w:hanging="360"/>
      </w:pPr>
    </w:lvl>
    <w:lvl w:ilvl="2" w:tplc="040A001B">
      <w:start w:val="1"/>
      <w:numFmt w:val="lowerRoman"/>
      <w:lvlText w:val="%3."/>
      <w:lvlJc w:val="right"/>
      <w:pPr>
        <w:ind w:left="2862" w:hanging="180"/>
      </w:pPr>
    </w:lvl>
    <w:lvl w:ilvl="3" w:tplc="040A000F">
      <w:start w:val="1"/>
      <w:numFmt w:val="decimal"/>
      <w:lvlText w:val="%4."/>
      <w:lvlJc w:val="left"/>
      <w:pPr>
        <w:ind w:left="3582" w:hanging="360"/>
      </w:pPr>
    </w:lvl>
    <w:lvl w:ilvl="4" w:tplc="040A0019">
      <w:start w:val="1"/>
      <w:numFmt w:val="lowerLetter"/>
      <w:lvlText w:val="%5."/>
      <w:lvlJc w:val="left"/>
      <w:pPr>
        <w:ind w:left="4302" w:hanging="360"/>
      </w:pPr>
    </w:lvl>
    <w:lvl w:ilvl="5" w:tplc="040A001B">
      <w:start w:val="1"/>
      <w:numFmt w:val="lowerRoman"/>
      <w:lvlText w:val="%6."/>
      <w:lvlJc w:val="right"/>
      <w:pPr>
        <w:ind w:left="5022" w:hanging="180"/>
      </w:pPr>
    </w:lvl>
    <w:lvl w:ilvl="6" w:tplc="040A000F">
      <w:start w:val="1"/>
      <w:numFmt w:val="decimal"/>
      <w:lvlText w:val="%7."/>
      <w:lvlJc w:val="left"/>
      <w:pPr>
        <w:ind w:left="5742" w:hanging="360"/>
      </w:pPr>
    </w:lvl>
    <w:lvl w:ilvl="7" w:tplc="040A0019">
      <w:start w:val="1"/>
      <w:numFmt w:val="lowerLetter"/>
      <w:lvlText w:val="%8."/>
      <w:lvlJc w:val="left"/>
      <w:pPr>
        <w:ind w:left="6462" w:hanging="360"/>
      </w:pPr>
    </w:lvl>
    <w:lvl w:ilvl="8" w:tplc="040A001B">
      <w:start w:val="1"/>
      <w:numFmt w:val="lowerRoman"/>
      <w:lvlText w:val="%9."/>
      <w:lvlJc w:val="right"/>
      <w:pPr>
        <w:ind w:left="7182" w:hanging="180"/>
      </w:pPr>
    </w:lvl>
  </w:abstractNum>
  <w:abstractNum w:abstractNumId="1">
    <w:nsid w:val="076C5F42"/>
    <w:multiLevelType w:val="hybridMultilevel"/>
    <w:tmpl w:val="0C2AEC58"/>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2C6144C9"/>
    <w:multiLevelType w:val="hybridMultilevel"/>
    <w:tmpl w:val="CFF0C922"/>
    <w:lvl w:ilvl="0" w:tplc="AAD2F022">
      <w:start w:val="1"/>
      <w:numFmt w:val="decimal"/>
      <w:pStyle w:val="PrrafodeSentencia"/>
      <w:lvlText w:val="%1."/>
      <w:lvlJc w:val="left"/>
      <w:pPr>
        <w:tabs>
          <w:tab w:val="num" w:pos="12305"/>
        </w:tabs>
      </w:pPr>
      <w:rPr>
        <w:rFonts w:ascii="Verdana" w:eastAsia="Times New Roman" w:hAnsi="Verdana"/>
        <w:b w:val="0"/>
        <w:bCs w:val="0"/>
        <w:i w:val="0"/>
        <w:iCs w:val="0"/>
        <w:strike w:val="0"/>
        <w:color w:val="auto"/>
        <w:sz w:val="20"/>
        <w:szCs w:val="20"/>
        <w:lang w:val="es-CO"/>
      </w:rPr>
    </w:lvl>
    <w:lvl w:ilvl="1" w:tplc="D8688752">
      <w:start w:val="1"/>
      <w:numFmt w:val="decimal"/>
      <w:lvlText w:val="%2."/>
      <w:lvlJc w:val="left"/>
      <w:pPr>
        <w:tabs>
          <w:tab w:val="num" w:pos="1080"/>
        </w:tabs>
        <w:ind w:left="1080" w:hanging="360"/>
      </w:pPr>
      <w:rPr>
        <w:rFonts w:hint="default"/>
        <w:b/>
        <w:bCs w:val="0"/>
        <w:i w:val="0"/>
        <w:iCs w:val="0"/>
        <w:color w:val="FF0000"/>
        <w:sz w:val="20"/>
        <w:szCs w:val="20"/>
      </w:rPr>
    </w:lvl>
    <w:lvl w:ilvl="2" w:tplc="0409001B">
      <w:start w:val="1"/>
      <w:numFmt w:val="lowerRoman"/>
      <w:pStyle w:val="Estilo8"/>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6C71F47"/>
    <w:multiLevelType w:val="multilevel"/>
    <w:tmpl w:val="140A001F"/>
    <w:numStyleLink w:val="111111"/>
  </w:abstractNum>
  <w:abstractNum w:abstractNumId="4">
    <w:nsid w:val="3BA44C05"/>
    <w:multiLevelType w:val="hybridMultilevel"/>
    <w:tmpl w:val="23FCDE72"/>
    <w:styleLink w:val="ImportedStyle1"/>
    <w:lvl w:ilvl="0" w:tplc="663461B6">
      <w:start w:val="1"/>
      <w:numFmt w:val="decimal"/>
      <w:lvlText w:val="%1."/>
      <w:lvlJc w:val="left"/>
      <w:pPr>
        <w:ind w:left="540" w:hanging="54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E480D8">
      <w:start w:val="1"/>
      <w:numFmt w:val="lowerLetter"/>
      <w:lvlText w:val="%2."/>
      <w:lvlJc w:val="left"/>
      <w:pPr>
        <w:ind w:left="72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AE274">
      <w:start w:val="1"/>
      <w:numFmt w:val="lowerRoman"/>
      <w:lvlText w:val="%3."/>
      <w:lvlJc w:val="left"/>
      <w:pPr>
        <w:tabs>
          <w:tab w:val="left" w:pos="540"/>
        </w:tabs>
        <w:ind w:left="1440" w:hanging="68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FA0C22">
      <w:start w:val="1"/>
      <w:numFmt w:val="decimal"/>
      <w:lvlText w:val="%4."/>
      <w:lvlJc w:val="left"/>
      <w:pPr>
        <w:tabs>
          <w:tab w:val="left" w:pos="540"/>
        </w:tabs>
        <w:ind w:left="216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A430CE">
      <w:start w:val="1"/>
      <w:numFmt w:val="lowerLetter"/>
      <w:lvlText w:val="%5."/>
      <w:lvlJc w:val="left"/>
      <w:pPr>
        <w:tabs>
          <w:tab w:val="left" w:pos="540"/>
        </w:tabs>
        <w:ind w:left="288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348524">
      <w:start w:val="1"/>
      <w:numFmt w:val="lowerRoman"/>
      <w:lvlText w:val="%6."/>
      <w:lvlJc w:val="left"/>
      <w:pPr>
        <w:tabs>
          <w:tab w:val="left" w:pos="540"/>
        </w:tabs>
        <w:ind w:left="3600" w:hanging="68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03F70">
      <w:start w:val="1"/>
      <w:numFmt w:val="decimal"/>
      <w:lvlText w:val="%7."/>
      <w:lvlJc w:val="left"/>
      <w:pPr>
        <w:tabs>
          <w:tab w:val="left" w:pos="540"/>
        </w:tabs>
        <w:ind w:left="432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8CE436">
      <w:start w:val="1"/>
      <w:numFmt w:val="lowerLetter"/>
      <w:lvlText w:val="%8."/>
      <w:lvlJc w:val="left"/>
      <w:pPr>
        <w:tabs>
          <w:tab w:val="left" w:pos="540"/>
        </w:tabs>
        <w:ind w:left="504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BE8C4A">
      <w:start w:val="1"/>
      <w:numFmt w:val="lowerRoman"/>
      <w:lvlText w:val="%9."/>
      <w:lvlJc w:val="left"/>
      <w:pPr>
        <w:tabs>
          <w:tab w:val="left" w:pos="540"/>
        </w:tabs>
        <w:ind w:left="5760" w:hanging="68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5842B23"/>
    <w:multiLevelType w:val="hybridMultilevel"/>
    <w:tmpl w:val="C2A01FFA"/>
    <w:lvl w:ilvl="0" w:tplc="22B85DEA">
      <w:start w:val="1"/>
      <w:numFmt w:val="decimal"/>
      <w:lvlText w:val="%1."/>
      <w:lvlJc w:val="left"/>
      <w:pPr>
        <w:ind w:left="720" w:hanging="360"/>
      </w:pPr>
      <w:rPr>
        <w:b w:val="0"/>
        <w:bCs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nsid w:val="45D70CBF"/>
    <w:multiLevelType w:val="hybridMultilevel"/>
    <w:tmpl w:val="3BB4C1EC"/>
    <w:lvl w:ilvl="0" w:tplc="0E924352">
      <w:start w:val="1"/>
      <w:numFmt w:val="decimal"/>
      <w:pStyle w:val="Heading71"/>
      <w:lvlText w:val="D.%1."/>
      <w:lvlJc w:val="left"/>
      <w:pPr>
        <w:ind w:left="2138" w:hanging="360"/>
      </w:pPr>
      <w:rPr>
        <w:rFonts w:hint="default"/>
      </w:rPr>
    </w:lvl>
    <w:lvl w:ilvl="1" w:tplc="140A0019" w:tentative="1">
      <w:start w:val="1"/>
      <w:numFmt w:val="lowerLetter"/>
      <w:lvlText w:val="%2."/>
      <w:lvlJc w:val="left"/>
      <w:pPr>
        <w:ind w:left="2858" w:hanging="360"/>
      </w:pPr>
    </w:lvl>
    <w:lvl w:ilvl="2" w:tplc="140A001B" w:tentative="1">
      <w:start w:val="1"/>
      <w:numFmt w:val="lowerRoman"/>
      <w:lvlText w:val="%3."/>
      <w:lvlJc w:val="right"/>
      <w:pPr>
        <w:ind w:left="3578" w:hanging="180"/>
      </w:pPr>
    </w:lvl>
    <w:lvl w:ilvl="3" w:tplc="140A000F" w:tentative="1">
      <w:start w:val="1"/>
      <w:numFmt w:val="decimal"/>
      <w:lvlText w:val="%4."/>
      <w:lvlJc w:val="left"/>
      <w:pPr>
        <w:ind w:left="4298" w:hanging="360"/>
      </w:pPr>
    </w:lvl>
    <w:lvl w:ilvl="4" w:tplc="140A0019" w:tentative="1">
      <w:start w:val="1"/>
      <w:numFmt w:val="lowerLetter"/>
      <w:lvlText w:val="%5."/>
      <w:lvlJc w:val="left"/>
      <w:pPr>
        <w:ind w:left="5018" w:hanging="360"/>
      </w:pPr>
    </w:lvl>
    <w:lvl w:ilvl="5" w:tplc="140A001B" w:tentative="1">
      <w:start w:val="1"/>
      <w:numFmt w:val="lowerRoman"/>
      <w:lvlText w:val="%6."/>
      <w:lvlJc w:val="right"/>
      <w:pPr>
        <w:ind w:left="5738" w:hanging="180"/>
      </w:pPr>
    </w:lvl>
    <w:lvl w:ilvl="6" w:tplc="140A000F" w:tentative="1">
      <w:start w:val="1"/>
      <w:numFmt w:val="decimal"/>
      <w:lvlText w:val="%7."/>
      <w:lvlJc w:val="left"/>
      <w:pPr>
        <w:ind w:left="6458" w:hanging="360"/>
      </w:pPr>
    </w:lvl>
    <w:lvl w:ilvl="7" w:tplc="140A0019" w:tentative="1">
      <w:start w:val="1"/>
      <w:numFmt w:val="lowerLetter"/>
      <w:lvlText w:val="%8."/>
      <w:lvlJc w:val="left"/>
      <w:pPr>
        <w:ind w:left="7178" w:hanging="360"/>
      </w:pPr>
    </w:lvl>
    <w:lvl w:ilvl="8" w:tplc="140A001B" w:tentative="1">
      <w:start w:val="1"/>
      <w:numFmt w:val="lowerRoman"/>
      <w:lvlText w:val="%9."/>
      <w:lvlJc w:val="right"/>
      <w:pPr>
        <w:ind w:left="7898" w:hanging="180"/>
      </w:pPr>
    </w:lvl>
  </w:abstractNum>
  <w:abstractNum w:abstractNumId="7">
    <w:nsid w:val="4A5A34C0"/>
    <w:multiLevelType w:val="hybridMultilevel"/>
    <w:tmpl w:val="689EE850"/>
    <w:lvl w:ilvl="0" w:tplc="FA120EEA">
      <w:start w:val="1"/>
      <w:numFmt w:val="upperLetter"/>
      <w:lvlText w:val="%1."/>
      <w:lvlJc w:val="left"/>
      <w:pPr>
        <w:ind w:left="1147" w:hanging="585"/>
      </w:pPr>
      <w:rPr>
        <w:rFonts w:hint="default"/>
      </w:rPr>
    </w:lvl>
    <w:lvl w:ilvl="1" w:tplc="140A0019" w:tentative="1">
      <w:start w:val="1"/>
      <w:numFmt w:val="lowerLetter"/>
      <w:lvlText w:val="%2."/>
      <w:lvlJc w:val="left"/>
      <w:pPr>
        <w:ind w:left="1642" w:hanging="360"/>
      </w:pPr>
    </w:lvl>
    <w:lvl w:ilvl="2" w:tplc="140A001B" w:tentative="1">
      <w:start w:val="1"/>
      <w:numFmt w:val="lowerRoman"/>
      <w:lvlText w:val="%3."/>
      <w:lvlJc w:val="right"/>
      <w:pPr>
        <w:ind w:left="2362" w:hanging="180"/>
      </w:pPr>
    </w:lvl>
    <w:lvl w:ilvl="3" w:tplc="140A000F" w:tentative="1">
      <w:start w:val="1"/>
      <w:numFmt w:val="decimal"/>
      <w:lvlText w:val="%4."/>
      <w:lvlJc w:val="left"/>
      <w:pPr>
        <w:ind w:left="3082" w:hanging="360"/>
      </w:pPr>
    </w:lvl>
    <w:lvl w:ilvl="4" w:tplc="140A0019" w:tentative="1">
      <w:start w:val="1"/>
      <w:numFmt w:val="lowerLetter"/>
      <w:lvlText w:val="%5."/>
      <w:lvlJc w:val="left"/>
      <w:pPr>
        <w:ind w:left="3802" w:hanging="360"/>
      </w:pPr>
    </w:lvl>
    <w:lvl w:ilvl="5" w:tplc="140A001B" w:tentative="1">
      <w:start w:val="1"/>
      <w:numFmt w:val="lowerRoman"/>
      <w:lvlText w:val="%6."/>
      <w:lvlJc w:val="right"/>
      <w:pPr>
        <w:ind w:left="4522" w:hanging="180"/>
      </w:pPr>
    </w:lvl>
    <w:lvl w:ilvl="6" w:tplc="140A000F" w:tentative="1">
      <w:start w:val="1"/>
      <w:numFmt w:val="decimal"/>
      <w:lvlText w:val="%7."/>
      <w:lvlJc w:val="left"/>
      <w:pPr>
        <w:ind w:left="5242" w:hanging="360"/>
      </w:pPr>
    </w:lvl>
    <w:lvl w:ilvl="7" w:tplc="140A0019" w:tentative="1">
      <w:start w:val="1"/>
      <w:numFmt w:val="lowerLetter"/>
      <w:lvlText w:val="%8."/>
      <w:lvlJc w:val="left"/>
      <w:pPr>
        <w:ind w:left="5962" w:hanging="360"/>
      </w:pPr>
    </w:lvl>
    <w:lvl w:ilvl="8" w:tplc="140A001B" w:tentative="1">
      <w:start w:val="1"/>
      <w:numFmt w:val="lowerRoman"/>
      <w:lvlText w:val="%9."/>
      <w:lvlJc w:val="right"/>
      <w:pPr>
        <w:ind w:left="6682" w:hanging="180"/>
      </w:pPr>
    </w:lvl>
  </w:abstractNum>
  <w:abstractNum w:abstractNumId="8">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8750E"/>
    <w:multiLevelType w:val="multilevel"/>
    <w:tmpl w:val="140A001F"/>
    <w:styleLink w:val="111111"/>
    <w:lvl w:ilvl="0">
      <w:start w:val="1"/>
      <w:numFmt w:val="decimal"/>
      <w:lvlText w:val="%1."/>
      <w:lvlJc w:val="left"/>
      <w:pPr>
        <w:ind w:left="360" w:hanging="360"/>
      </w:pPr>
      <w:rPr>
        <w:rFonts w:ascii="Times New Roman" w:hAnsi="Times New Roman"/>
        <w:caps w:val="0"/>
        <w:smallCaps w:val="0"/>
        <w:strike w:val="0"/>
        <w:dstrike w:val="0"/>
        <w:vanish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E06E32"/>
    <w:multiLevelType w:val="hybridMultilevel"/>
    <w:tmpl w:val="FABE0216"/>
    <w:lvl w:ilvl="0" w:tplc="6F323408">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1">
    <w:nsid w:val="75EC23C3"/>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9354707"/>
    <w:multiLevelType w:val="hybridMultilevel"/>
    <w:tmpl w:val="BA04C50A"/>
    <w:lvl w:ilvl="0" w:tplc="94A04D50">
      <w:start w:val="1"/>
      <w:numFmt w:val="decimal"/>
      <w:lvlText w:val="%1."/>
      <w:lvlJc w:val="left"/>
      <w:pPr>
        <w:ind w:left="825" w:hanging="825"/>
      </w:pPr>
      <w:rPr>
        <w:rFonts w:ascii="Verdana" w:eastAsia="Verdana" w:hAnsi="Verdana" w:cs="Verdana" w:hint="default"/>
        <w:b w:val="0"/>
        <w:bCs/>
        <w:i w:val="0"/>
        <w:color w:val="auto"/>
        <w:sz w:val="20"/>
        <w:szCs w:val="20"/>
        <w:vertAlign w:val="baseline"/>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nsid w:val="7CE64D32"/>
    <w:multiLevelType w:val="hybridMultilevel"/>
    <w:tmpl w:val="75A2624C"/>
    <w:lvl w:ilvl="0" w:tplc="8BD6FFCA">
      <w:start w:val="1"/>
      <w:numFmt w:val="decimal"/>
      <w:lvlText w:val="%1."/>
      <w:lvlJc w:val="left"/>
      <w:pPr>
        <w:tabs>
          <w:tab w:val="num" w:pos="6042"/>
        </w:tabs>
      </w:pPr>
      <w:rPr>
        <w:rFonts w:ascii="Verdana" w:eastAsia="Times New Roman" w:hAnsi="Verdana" w:cs="Times New Roman" w:hint="default"/>
        <w:b w:val="0"/>
        <w:i w:val="0"/>
        <w:strike w:val="0"/>
        <w:color w:val="auto"/>
        <w:sz w:val="20"/>
        <w:lang w:val="es-ES"/>
      </w:rPr>
    </w:lvl>
    <w:lvl w:ilvl="1" w:tplc="8D765A30">
      <w:start w:val="1"/>
      <w:numFmt w:val="lowerLetter"/>
      <w:lvlText w:val="%2)"/>
      <w:lvlJc w:val="left"/>
      <w:pPr>
        <w:tabs>
          <w:tab w:val="num" w:pos="4767"/>
        </w:tabs>
        <w:ind w:left="4767" w:hanging="360"/>
      </w:pPr>
      <w:rPr>
        <w:rFonts w:cs="Times New Roman" w:hint="default"/>
        <w:b w:val="0"/>
        <w:i w:val="0"/>
        <w:sz w:val="20"/>
      </w:rPr>
    </w:lvl>
    <w:lvl w:ilvl="2" w:tplc="FED61C0C">
      <w:start w:val="1"/>
      <w:numFmt w:val="lowerRoman"/>
      <w:lvlText w:val="%3."/>
      <w:lvlJc w:val="right"/>
      <w:pPr>
        <w:tabs>
          <w:tab w:val="num" w:pos="890"/>
        </w:tabs>
        <w:ind w:left="890" w:hanging="180"/>
      </w:pPr>
      <w:rPr>
        <w:rFonts w:cs="Times New Roman"/>
        <w:i/>
      </w:rPr>
    </w:lvl>
    <w:lvl w:ilvl="3" w:tplc="0C0A000F">
      <w:start w:val="1"/>
      <w:numFmt w:val="decimal"/>
      <w:lvlText w:val="%4."/>
      <w:lvlJc w:val="left"/>
      <w:pPr>
        <w:tabs>
          <w:tab w:val="num" w:pos="6567"/>
        </w:tabs>
        <w:ind w:left="6567" w:hanging="360"/>
      </w:pPr>
      <w:rPr>
        <w:rFonts w:cs="Times New Roman"/>
      </w:rPr>
    </w:lvl>
    <w:lvl w:ilvl="4" w:tplc="0C0A0019">
      <w:start w:val="1"/>
      <w:numFmt w:val="lowerLetter"/>
      <w:lvlText w:val="%5."/>
      <w:lvlJc w:val="left"/>
      <w:pPr>
        <w:tabs>
          <w:tab w:val="num" w:pos="7287"/>
        </w:tabs>
        <w:ind w:left="7287" w:hanging="360"/>
      </w:pPr>
      <w:rPr>
        <w:rFonts w:cs="Times New Roman"/>
      </w:rPr>
    </w:lvl>
    <w:lvl w:ilvl="5" w:tplc="0C0A001B">
      <w:start w:val="1"/>
      <w:numFmt w:val="lowerRoman"/>
      <w:lvlText w:val="%6."/>
      <w:lvlJc w:val="right"/>
      <w:pPr>
        <w:tabs>
          <w:tab w:val="num" w:pos="8007"/>
        </w:tabs>
        <w:ind w:left="8007" w:hanging="180"/>
      </w:pPr>
      <w:rPr>
        <w:rFonts w:cs="Times New Roman"/>
      </w:rPr>
    </w:lvl>
    <w:lvl w:ilvl="6" w:tplc="0C0A000F">
      <w:start w:val="1"/>
      <w:numFmt w:val="decimal"/>
      <w:lvlText w:val="%7."/>
      <w:lvlJc w:val="left"/>
      <w:pPr>
        <w:tabs>
          <w:tab w:val="num" w:pos="8727"/>
        </w:tabs>
        <w:ind w:left="8727" w:hanging="360"/>
      </w:pPr>
      <w:rPr>
        <w:rFonts w:cs="Times New Roman"/>
      </w:rPr>
    </w:lvl>
    <w:lvl w:ilvl="7" w:tplc="0C0A0019">
      <w:start w:val="1"/>
      <w:numFmt w:val="lowerLetter"/>
      <w:lvlText w:val="%8."/>
      <w:lvlJc w:val="left"/>
      <w:pPr>
        <w:tabs>
          <w:tab w:val="num" w:pos="9447"/>
        </w:tabs>
        <w:ind w:left="9447" w:hanging="360"/>
      </w:pPr>
      <w:rPr>
        <w:rFonts w:cs="Times New Roman"/>
      </w:rPr>
    </w:lvl>
    <w:lvl w:ilvl="8" w:tplc="0C0A001B">
      <w:start w:val="1"/>
      <w:numFmt w:val="lowerRoman"/>
      <w:lvlText w:val="%9."/>
      <w:lvlJc w:val="right"/>
      <w:pPr>
        <w:tabs>
          <w:tab w:val="num" w:pos="10167"/>
        </w:tabs>
        <w:ind w:left="10167" w:hanging="180"/>
      </w:pPr>
      <w:rPr>
        <w:rFonts w:cs="Times New Roman"/>
      </w:rPr>
    </w:lvl>
  </w:abstractNum>
  <w:num w:numId="1">
    <w:abstractNumId w:val="2"/>
  </w:num>
  <w:num w:numId="2">
    <w:abstractNumId w:val="8"/>
  </w:num>
  <w:num w:numId="3">
    <w:abstractNumId w:val="4"/>
  </w:num>
  <w:num w:numId="4">
    <w:abstractNumId w:val="12"/>
  </w:num>
  <w:num w:numId="5">
    <w:abstractNumId w:val="10"/>
  </w:num>
  <w:num w:numId="6">
    <w:abstractNumId w:val="1"/>
  </w:num>
  <w:num w:numId="7">
    <w:abstractNumId w:val="6"/>
  </w:num>
  <w:num w:numId="8">
    <w:abstractNumId w:val="7"/>
  </w:num>
  <w:num w:numId="9">
    <w:abstractNumId w:val="13"/>
  </w:num>
  <w:num w:numId="10">
    <w:abstractNumId w:val="5"/>
  </w:num>
  <w:num w:numId="11">
    <w:abstractNumId w:val="0"/>
  </w:num>
  <w:num w:numId="12">
    <w:abstractNumId w:val="11"/>
  </w:num>
  <w:num w:numId="13">
    <w:abstractNumId w:val="9"/>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16"/>
    <w:rsid w:val="000012D0"/>
    <w:rsid w:val="00002749"/>
    <w:rsid w:val="00010FA2"/>
    <w:rsid w:val="000110DC"/>
    <w:rsid w:val="00011267"/>
    <w:rsid w:val="00011F18"/>
    <w:rsid w:val="00012CE2"/>
    <w:rsid w:val="000136C2"/>
    <w:rsid w:val="000176BB"/>
    <w:rsid w:val="00020218"/>
    <w:rsid w:val="0002154A"/>
    <w:rsid w:val="00023CB0"/>
    <w:rsid w:val="000242AB"/>
    <w:rsid w:val="00027197"/>
    <w:rsid w:val="00027CE8"/>
    <w:rsid w:val="00027FB2"/>
    <w:rsid w:val="000306D2"/>
    <w:rsid w:val="00030FF7"/>
    <w:rsid w:val="000319EB"/>
    <w:rsid w:val="00032A6B"/>
    <w:rsid w:val="000337A7"/>
    <w:rsid w:val="00034360"/>
    <w:rsid w:val="00037526"/>
    <w:rsid w:val="000375A9"/>
    <w:rsid w:val="00042842"/>
    <w:rsid w:val="00042E1B"/>
    <w:rsid w:val="00045215"/>
    <w:rsid w:val="00046153"/>
    <w:rsid w:val="0004752E"/>
    <w:rsid w:val="00047F52"/>
    <w:rsid w:val="000508B6"/>
    <w:rsid w:val="00050F41"/>
    <w:rsid w:val="00052757"/>
    <w:rsid w:val="00053A31"/>
    <w:rsid w:val="00054D66"/>
    <w:rsid w:val="00055DA5"/>
    <w:rsid w:val="00056E57"/>
    <w:rsid w:val="00057635"/>
    <w:rsid w:val="00057A16"/>
    <w:rsid w:val="00061A1C"/>
    <w:rsid w:val="00061E05"/>
    <w:rsid w:val="000636CC"/>
    <w:rsid w:val="000636DE"/>
    <w:rsid w:val="00063927"/>
    <w:rsid w:val="00064B26"/>
    <w:rsid w:val="000653C2"/>
    <w:rsid w:val="000667D5"/>
    <w:rsid w:val="00067167"/>
    <w:rsid w:val="00067CFB"/>
    <w:rsid w:val="00072432"/>
    <w:rsid w:val="000725E4"/>
    <w:rsid w:val="000726E9"/>
    <w:rsid w:val="00073397"/>
    <w:rsid w:val="000746A8"/>
    <w:rsid w:val="000753C7"/>
    <w:rsid w:val="00075A44"/>
    <w:rsid w:val="00080FD2"/>
    <w:rsid w:val="0008199A"/>
    <w:rsid w:val="000850C3"/>
    <w:rsid w:val="0008596B"/>
    <w:rsid w:val="00091131"/>
    <w:rsid w:val="00094448"/>
    <w:rsid w:val="00095B07"/>
    <w:rsid w:val="00096823"/>
    <w:rsid w:val="00096AF5"/>
    <w:rsid w:val="0009720C"/>
    <w:rsid w:val="0009794F"/>
    <w:rsid w:val="000A0776"/>
    <w:rsid w:val="000A0AA6"/>
    <w:rsid w:val="000A0DA8"/>
    <w:rsid w:val="000B014F"/>
    <w:rsid w:val="000B15FD"/>
    <w:rsid w:val="000B4648"/>
    <w:rsid w:val="000B6453"/>
    <w:rsid w:val="000B64C0"/>
    <w:rsid w:val="000C1B84"/>
    <w:rsid w:val="000C2689"/>
    <w:rsid w:val="000C4077"/>
    <w:rsid w:val="000C63D6"/>
    <w:rsid w:val="000D2CBA"/>
    <w:rsid w:val="000D2EAA"/>
    <w:rsid w:val="000D38AF"/>
    <w:rsid w:val="000D74D8"/>
    <w:rsid w:val="000E25B8"/>
    <w:rsid w:val="000E2B8A"/>
    <w:rsid w:val="000E4848"/>
    <w:rsid w:val="000E7FAE"/>
    <w:rsid w:val="000F0120"/>
    <w:rsid w:val="000F17C6"/>
    <w:rsid w:val="000F1E21"/>
    <w:rsid w:val="000F1E5B"/>
    <w:rsid w:val="000F20CA"/>
    <w:rsid w:val="000F20EE"/>
    <w:rsid w:val="000F6C48"/>
    <w:rsid w:val="001021D5"/>
    <w:rsid w:val="00105001"/>
    <w:rsid w:val="0010568E"/>
    <w:rsid w:val="00105AA6"/>
    <w:rsid w:val="00105AB8"/>
    <w:rsid w:val="001062D5"/>
    <w:rsid w:val="001076EB"/>
    <w:rsid w:val="00107F96"/>
    <w:rsid w:val="00110556"/>
    <w:rsid w:val="00110D58"/>
    <w:rsid w:val="00111AB7"/>
    <w:rsid w:val="0011211B"/>
    <w:rsid w:val="00114200"/>
    <w:rsid w:val="00114E22"/>
    <w:rsid w:val="001157D2"/>
    <w:rsid w:val="0011634B"/>
    <w:rsid w:val="00120C97"/>
    <w:rsid w:val="00121688"/>
    <w:rsid w:val="00124AEA"/>
    <w:rsid w:val="00126E06"/>
    <w:rsid w:val="00127CF0"/>
    <w:rsid w:val="0013227C"/>
    <w:rsid w:val="0013422C"/>
    <w:rsid w:val="00140196"/>
    <w:rsid w:val="00140BA6"/>
    <w:rsid w:val="0014109D"/>
    <w:rsid w:val="00142347"/>
    <w:rsid w:val="001430FB"/>
    <w:rsid w:val="00146B66"/>
    <w:rsid w:val="0014742A"/>
    <w:rsid w:val="001522BD"/>
    <w:rsid w:val="001523C1"/>
    <w:rsid w:val="0015449C"/>
    <w:rsid w:val="001601B1"/>
    <w:rsid w:val="00160FC4"/>
    <w:rsid w:val="00162C13"/>
    <w:rsid w:val="00163510"/>
    <w:rsid w:val="0016390B"/>
    <w:rsid w:val="00165B47"/>
    <w:rsid w:val="00170936"/>
    <w:rsid w:val="00172F87"/>
    <w:rsid w:val="0017432D"/>
    <w:rsid w:val="001749B2"/>
    <w:rsid w:val="00176452"/>
    <w:rsid w:val="00176D3A"/>
    <w:rsid w:val="001772DF"/>
    <w:rsid w:val="00177BB1"/>
    <w:rsid w:val="001813DE"/>
    <w:rsid w:val="001825D4"/>
    <w:rsid w:val="00183A69"/>
    <w:rsid w:val="00185528"/>
    <w:rsid w:val="00190F6E"/>
    <w:rsid w:val="001913B5"/>
    <w:rsid w:val="0019200D"/>
    <w:rsid w:val="00193548"/>
    <w:rsid w:val="00194A70"/>
    <w:rsid w:val="001952F2"/>
    <w:rsid w:val="00196A79"/>
    <w:rsid w:val="00196C6F"/>
    <w:rsid w:val="00197A72"/>
    <w:rsid w:val="001A1689"/>
    <w:rsid w:val="001A1A8F"/>
    <w:rsid w:val="001A31E1"/>
    <w:rsid w:val="001A3CDD"/>
    <w:rsid w:val="001A3D54"/>
    <w:rsid w:val="001A46AF"/>
    <w:rsid w:val="001A6BC7"/>
    <w:rsid w:val="001B07E3"/>
    <w:rsid w:val="001B12CA"/>
    <w:rsid w:val="001B29CB"/>
    <w:rsid w:val="001B51E0"/>
    <w:rsid w:val="001B599B"/>
    <w:rsid w:val="001B62C9"/>
    <w:rsid w:val="001B680E"/>
    <w:rsid w:val="001B6885"/>
    <w:rsid w:val="001B6BB6"/>
    <w:rsid w:val="001B6D54"/>
    <w:rsid w:val="001B78D5"/>
    <w:rsid w:val="001C0A41"/>
    <w:rsid w:val="001C27BA"/>
    <w:rsid w:val="001C29E4"/>
    <w:rsid w:val="001C51C3"/>
    <w:rsid w:val="001C5DCD"/>
    <w:rsid w:val="001C75B2"/>
    <w:rsid w:val="001D4408"/>
    <w:rsid w:val="001D557D"/>
    <w:rsid w:val="001D5BF4"/>
    <w:rsid w:val="001D68B4"/>
    <w:rsid w:val="001D6AEB"/>
    <w:rsid w:val="001D7534"/>
    <w:rsid w:val="001E0470"/>
    <w:rsid w:val="001E05E9"/>
    <w:rsid w:val="001E0A04"/>
    <w:rsid w:val="001E1AAD"/>
    <w:rsid w:val="001E3203"/>
    <w:rsid w:val="001E54DD"/>
    <w:rsid w:val="001E6240"/>
    <w:rsid w:val="001F0A51"/>
    <w:rsid w:val="001F241D"/>
    <w:rsid w:val="001F2DA4"/>
    <w:rsid w:val="001F53FB"/>
    <w:rsid w:val="001F7381"/>
    <w:rsid w:val="0020109A"/>
    <w:rsid w:val="002025CD"/>
    <w:rsid w:val="00203ECB"/>
    <w:rsid w:val="00206B67"/>
    <w:rsid w:val="002102BF"/>
    <w:rsid w:val="00210C11"/>
    <w:rsid w:val="00214D3E"/>
    <w:rsid w:val="00216556"/>
    <w:rsid w:val="00216890"/>
    <w:rsid w:val="00217858"/>
    <w:rsid w:val="00217BCC"/>
    <w:rsid w:val="002204CC"/>
    <w:rsid w:val="00220E54"/>
    <w:rsid w:val="00222187"/>
    <w:rsid w:val="002228FA"/>
    <w:rsid w:val="002243E9"/>
    <w:rsid w:val="0022484A"/>
    <w:rsid w:val="002250E1"/>
    <w:rsid w:val="0022582A"/>
    <w:rsid w:val="00225AF2"/>
    <w:rsid w:val="002277CC"/>
    <w:rsid w:val="002307A9"/>
    <w:rsid w:val="002316FA"/>
    <w:rsid w:val="002321AE"/>
    <w:rsid w:val="00234096"/>
    <w:rsid w:val="002343C9"/>
    <w:rsid w:val="002346F4"/>
    <w:rsid w:val="00235346"/>
    <w:rsid w:val="0023694D"/>
    <w:rsid w:val="00236DA9"/>
    <w:rsid w:val="002373EF"/>
    <w:rsid w:val="00240576"/>
    <w:rsid w:val="00241F90"/>
    <w:rsid w:val="00245E4A"/>
    <w:rsid w:val="002478D0"/>
    <w:rsid w:val="00247A27"/>
    <w:rsid w:val="00247CE0"/>
    <w:rsid w:val="00250831"/>
    <w:rsid w:val="002508B6"/>
    <w:rsid w:val="00252B93"/>
    <w:rsid w:val="00253084"/>
    <w:rsid w:val="00254B8E"/>
    <w:rsid w:val="00256D0F"/>
    <w:rsid w:val="00257F16"/>
    <w:rsid w:val="002628A9"/>
    <w:rsid w:val="00262BEA"/>
    <w:rsid w:val="002667D1"/>
    <w:rsid w:val="00266C16"/>
    <w:rsid w:val="00271557"/>
    <w:rsid w:val="0027205C"/>
    <w:rsid w:val="00274BD9"/>
    <w:rsid w:val="002758CE"/>
    <w:rsid w:val="002766C3"/>
    <w:rsid w:val="0028171B"/>
    <w:rsid w:val="002839D7"/>
    <w:rsid w:val="00283C75"/>
    <w:rsid w:val="00285602"/>
    <w:rsid w:val="00286C6C"/>
    <w:rsid w:val="00287F90"/>
    <w:rsid w:val="00291A3C"/>
    <w:rsid w:val="00291F31"/>
    <w:rsid w:val="00293AEF"/>
    <w:rsid w:val="0029594D"/>
    <w:rsid w:val="002A018D"/>
    <w:rsid w:val="002A1E37"/>
    <w:rsid w:val="002A2505"/>
    <w:rsid w:val="002A3A73"/>
    <w:rsid w:val="002A5E94"/>
    <w:rsid w:val="002B1967"/>
    <w:rsid w:val="002B19E7"/>
    <w:rsid w:val="002B1CDB"/>
    <w:rsid w:val="002B3FA1"/>
    <w:rsid w:val="002B45C8"/>
    <w:rsid w:val="002B7D4D"/>
    <w:rsid w:val="002C12E0"/>
    <w:rsid w:val="002C35E6"/>
    <w:rsid w:val="002C5240"/>
    <w:rsid w:val="002C55E5"/>
    <w:rsid w:val="002C56E0"/>
    <w:rsid w:val="002C684D"/>
    <w:rsid w:val="002C7313"/>
    <w:rsid w:val="002D0314"/>
    <w:rsid w:val="002D09F5"/>
    <w:rsid w:val="002D14B0"/>
    <w:rsid w:val="002D1B13"/>
    <w:rsid w:val="002D37A3"/>
    <w:rsid w:val="002D37DA"/>
    <w:rsid w:val="002D5C40"/>
    <w:rsid w:val="002D65AB"/>
    <w:rsid w:val="002D77E4"/>
    <w:rsid w:val="002D7F5D"/>
    <w:rsid w:val="002E1882"/>
    <w:rsid w:val="002E36BB"/>
    <w:rsid w:val="002E5FF5"/>
    <w:rsid w:val="002E6A77"/>
    <w:rsid w:val="002F080E"/>
    <w:rsid w:val="002F2C0A"/>
    <w:rsid w:val="002F57B7"/>
    <w:rsid w:val="002F5A56"/>
    <w:rsid w:val="0030008B"/>
    <w:rsid w:val="00301C68"/>
    <w:rsid w:val="00301F9E"/>
    <w:rsid w:val="0030265F"/>
    <w:rsid w:val="00304FC0"/>
    <w:rsid w:val="0030508E"/>
    <w:rsid w:val="00307BC8"/>
    <w:rsid w:val="00310489"/>
    <w:rsid w:val="00310982"/>
    <w:rsid w:val="00314425"/>
    <w:rsid w:val="00316587"/>
    <w:rsid w:val="00316E86"/>
    <w:rsid w:val="00321C98"/>
    <w:rsid w:val="0032208D"/>
    <w:rsid w:val="003222C7"/>
    <w:rsid w:val="003248AE"/>
    <w:rsid w:val="00324FD8"/>
    <w:rsid w:val="0032527C"/>
    <w:rsid w:val="00325859"/>
    <w:rsid w:val="00327DC6"/>
    <w:rsid w:val="003303ED"/>
    <w:rsid w:val="003307A3"/>
    <w:rsid w:val="00332B1B"/>
    <w:rsid w:val="00332EDD"/>
    <w:rsid w:val="003331A6"/>
    <w:rsid w:val="003339B3"/>
    <w:rsid w:val="00333BAA"/>
    <w:rsid w:val="00334B9C"/>
    <w:rsid w:val="0034039C"/>
    <w:rsid w:val="003461E8"/>
    <w:rsid w:val="00347225"/>
    <w:rsid w:val="00352233"/>
    <w:rsid w:val="00353532"/>
    <w:rsid w:val="00354A24"/>
    <w:rsid w:val="00355CCB"/>
    <w:rsid w:val="00360F57"/>
    <w:rsid w:val="00361ECD"/>
    <w:rsid w:val="00362A75"/>
    <w:rsid w:val="00364CE4"/>
    <w:rsid w:val="0036509D"/>
    <w:rsid w:val="00367639"/>
    <w:rsid w:val="00367B7A"/>
    <w:rsid w:val="00371FFC"/>
    <w:rsid w:val="00372207"/>
    <w:rsid w:val="00372220"/>
    <w:rsid w:val="00372538"/>
    <w:rsid w:val="00374A65"/>
    <w:rsid w:val="00374C7F"/>
    <w:rsid w:val="003754B6"/>
    <w:rsid w:val="003759DE"/>
    <w:rsid w:val="00377EF4"/>
    <w:rsid w:val="003800CF"/>
    <w:rsid w:val="00381387"/>
    <w:rsid w:val="00381A2C"/>
    <w:rsid w:val="003836DE"/>
    <w:rsid w:val="00384C53"/>
    <w:rsid w:val="00385A28"/>
    <w:rsid w:val="00390DC3"/>
    <w:rsid w:val="00390E2D"/>
    <w:rsid w:val="00392178"/>
    <w:rsid w:val="00392D8F"/>
    <w:rsid w:val="003969B1"/>
    <w:rsid w:val="003977EE"/>
    <w:rsid w:val="003A38D0"/>
    <w:rsid w:val="003A46F1"/>
    <w:rsid w:val="003A55B9"/>
    <w:rsid w:val="003B136F"/>
    <w:rsid w:val="003B178A"/>
    <w:rsid w:val="003B256C"/>
    <w:rsid w:val="003B4746"/>
    <w:rsid w:val="003B5A0B"/>
    <w:rsid w:val="003B7F2A"/>
    <w:rsid w:val="003C1B9F"/>
    <w:rsid w:val="003C2455"/>
    <w:rsid w:val="003C3752"/>
    <w:rsid w:val="003C5D26"/>
    <w:rsid w:val="003C63AC"/>
    <w:rsid w:val="003C695C"/>
    <w:rsid w:val="003C6A7C"/>
    <w:rsid w:val="003C6C8B"/>
    <w:rsid w:val="003C71BF"/>
    <w:rsid w:val="003D10D0"/>
    <w:rsid w:val="003D21E5"/>
    <w:rsid w:val="003D467C"/>
    <w:rsid w:val="003D5F2A"/>
    <w:rsid w:val="003D739E"/>
    <w:rsid w:val="003D7C11"/>
    <w:rsid w:val="003E34C2"/>
    <w:rsid w:val="003E4B8D"/>
    <w:rsid w:val="003E5988"/>
    <w:rsid w:val="003E5D77"/>
    <w:rsid w:val="003E6911"/>
    <w:rsid w:val="003E6E7F"/>
    <w:rsid w:val="003F0125"/>
    <w:rsid w:val="003F1249"/>
    <w:rsid w:val="003F348C"/>
    <w:rsid w:val="003F37A6"/>
    <w:rsid w:val="003F65B9"/>
    <w:rsid w:val="003F6C76"/>
    <w:rsid w:val="003F6C8D"/>
    <w:rsid w:val="00401DF1"/>
    <w:rsid w:val="0040223B"/>
    <w:rsid w:val="00402449"/>
    <w:rsid w:val="00403C50"/>
    <w:rsid w:val="004040AC"/>
    <w:rsid w:val="00404687"/>
    <w:rsid w:val="00404F63"/>
    <w:rsid w:val="0040673B"/>
    <w:rsid w:val="00407033"/>
    <w:rsid w:val="00407D53"/>
    <w:rsid w:val="0041123B"/>
    <w:rsid w:val="00413AA6"/>
    <w:rsid w:val="00413CC7"/>
    <w:rsid w:val="00414048"/>
    <w:rsid w:val="004168BF"/>
    <w:rsid w:val="00416AAE"/>
    <w:rsid w:val="00416C9C"/>
    <w:rsid w:val="0042064C"/>
    <w:rsid w:val="00420844"/>
    <w:rsid w:val="00426078"/>
    <w:rsid w:val="004277D4"/>
    <w:rsid w:val="004331A0"/>
    <w:rsid w:val="00433412"/>
    <w:rsid w:val="00436F04"/>
    <w:rsid w:val="00443AB4"/>
    <w:rsid w:val="00444519"/>
    <w:rsid w:val="00445A6D"/>
    <w:rsid w:val="00445C29"/>
    <w:rsid w:val="004462FB"/>
    <w:rsid w:val="00446328"/>
    <w:rsid w:val="00447C0D"/>
    <w:rsid w:val="00452B20"/>
    <w:rsid w:val="00454AB3"/>
    <w:rsid w:val="00454CF5"/>
    <w:rsid w:val="004570E5"/>
    <w:rsid w:val="00457796"/>
    <w:rsid w:val="0046086B"/>
    <w:rsid w:val="00461E94"/>
    <w:rsid w:val="004626E1"/>
    <w:rsid w:val="00463492"/>
    <w:rsid w:val="00466A26"/>
    <w:rsid w:val="00466C23"/>
    <w:rsid w:val="004670CC"/>
    <w:rsid w:val="00467516"/>
    <w:rsid w:val="00467C27"/>
    <w:rsid w:val="00471602"/>
    <w:rsid w:val="00471D83"/>
    <w:rsid w:val="00473392"/>
    <w:rsid w:val="0047554A"/>
    <w:rsid w:val="00477B00"/>
    <w:rsid w:val="00482508"/>
    <w:rsid w:val="00482A60"/>
    <w:rsid w:val="0048482C"/>
    <w:rsid w:val="00486D47"/>
    <w:rsid w:val="004878CA"/>
    <w:rsid w:val="00487B95"/>
    <w:rsid w:val="00491045"/>
    <w:rsid w:val="0049149C"/>
    <w:rsid w:val="004917B4"/>
    <w:rsid w:val="00491C6B"/>
    <w:rsid w:val="00493100"/>
    <w:rsid w:val="0049332B"/>
    <w:rsid w:val="004933AC"/>
    <w:rsid w:val="00494B20"/>
    <w:rsid w:val="004966F0"/>
    <w:rsid w:val="004968EC"/>
    <w:rsid w:val="00497330"/>
    <w:rsid w:val="004A3528"/>
    <w:rsid w:val="004A4400"/>
    <w:rsid w:val="004A61E5"/>
    <w:rsid w:val="004A7EB1"/>
    <w:rsid w:val="004B14F8"/>
    <w:rsid w:val="004B1895"/>
    <w:rsid w:val="004B4532"/>
    <w:rsid w:val="004B554B"/>
    <w:rsid w:val="004B6422"/>
    <w:rsid w:val="004B78CB"/>
    <w:rsid w:val="004C05ED"/>
    <w:rsid w:val="004C0BDE"/>
    <w:rsid w:val="004C1B4A"/>
    <w:rsid w:val="004C3044"/>
    <w:rsid w:val="004C3923"/>
    <w:rsid w:val="004C4DC4"/>
    <w:rsid w:val="004C6365"/>
    <w:rsid w:val="004C7410"/>
    <w:rsid w:val="004C7DD9"/>
    <w:rsid w:val="004D0802"/>
    <w:rsid w:val="004D0F8C"/>
    <w:rsid w:val="004D141B"/>
    <w:rsid w:val="004D18B0"/>
    <w:rsid w:val="004D19BA"/>
    <w:rsid w:val="004D2910"/>
    <w:rsid w:val="004D2A8A"/>
    <w:rsid w:val="004D3611"/>
    <w:rsid w:val="004D5DA8"/>
    <w:rsid w:val="004D7794"/>
    <w:rsid w:val="004D792A"/>
    <w:rsid w:val="004D7A0D"/>
    <w:rsid w:val="004D7A9A"/>
    <w:rsid w:val="004E1EBF"/>
    <w:rsid w:val="004E2EA9"/>
    <w:rsid w:val="004E42FE"/>
    <w:rsid w:val="004E5CC2"/>
    <w:rsid w:val="004E6F31"/>
    <w:rsid w:val="004E7EAA"/>
    <w:rsid w:val="004F0364"/>
    <w:rsid w:val="004F0770"/>
    <w:rsid w:val="004F159E"/>
    <w:rsid w:val="004F183C"/>
    <w:rsid w:val="004F4ABC"/>
    <w:rsid w:val="004F4AD4"/>
    <w:rsid w:val="005001EF"/>
    <w:rsid w:val="005011A0"/>
    <w:rsid w:val="0050134A"/>
    <w:rsid w:val="00501812"/>
    <w:rsid w:val="00501AAB"/>
    <w:rsid w:val="0050241E"/>
    <w:rsid w:val="005039F3"/>
    <w:rsid w:val="00503CA9"/>
    <w:rsid w:val="005044F4"/>
    <w:rsid w:val="00505B56"/>
    <w:rsid w:val="00510C02"/>
    <w:rsid w:val="005114A6"/>
    <w:rsid w:val="00512FE3"/>
    <w:rsid w:val="005133CD"/>
    <w:rsid w:val="00513FB5"/>
    <w:rsid w:val="005151BB"/>
    <w:rsid w:val="0051663A"/>
    <w:rsid w:val="005168A3"/>
    <w:rsid w:val="005205C2"/>
    <w:rsid w:val="00520A12"/>
    <w:rsid w:val="005243E0"/>
    <w:rsid w:val="00524AD9"/>
    <w:rsid w:val="005263C5"/>
    <w:rsid w:val="00530549"/>
    <w:rsid w:val="00531FA1"/>
    <w:rsid w:val="00533D83"/>
    <w:rsid w:val="00534341"/>
    <w:rsid w:val="005364BC"/>
    <w:rsid w:val="00537440"/>
    <w:rsid w:val="00537C44"/>
    <w:rsid w:val="005414B4"/>
    <w:rsid w:val="00541F3F"/>
    <w:rsid w:val="00543113"/>
    <w:rsid w:val="0054395E"/>
    <w:rsid w:val="00543CF0"/>
    <w:rsid w:val="005441F5"/>
    <w:rsid w:val="00546198"/>
    <w:rsid w:val="005505BC"/>
    <w:rsid w:val="0055280E"/>
    <w:rsid w:val="0055319D"/>
    <w:rsid w:val="005537A1"/>
    <w:rsid w:val="00554EE6"/>
    <w:rsid w:val="00556B41"/>
    <w:rsid w:val="005579C3"/>
    <w:rsid w:val="00560ED8"/>
    <w:rsid w:val="00562B60"/>
    <w:rsid w:val="00563189"/>
    <w:rsid w:val="00563CA7"/>
    <w:rsid w:val="00564B68"/>
    <w:rsid w:val="005657C7"/>
    <w:rsid w:val="00565C70"/>
    <w:rsid w:val="005665EA"/>
    <w:rsid w:val="005668E4"/>
    <w:rsid w:val="00567159"/>
    <w:rsid w:val="00571ABA"/>
    <w:rsid w:val="00571AE4"/>
    <w:rsid w:val="0057203A"/>
    <w:rsid w:val="0057384A"/>
    <w:rsid w:val="00573FA4"/>
    <w:rsid w:val="0057410E"/>
    <w:rsid w:val="0057478C"/>
    <w:rsid w:val="005755CB"/>
    <w:rsid w:val="005759A0"/>
    <w:rsid w:val="00576A60"/>
    <w:rsid w:val="00581DF4"/>
    <w:rsid w:val="0058253F"/>
    <w:rsid w:val="00584F0C"/>
    <w:rsid w:val="00585256"/>
    <w:rsid w:val="00586682"/>
    <w:rsid w:val="005879F4"/>
    <w:rsid w:val="00592898"/>
    <w:rsid w:val="00595BCC"/>
    <w:rsid w:val="00595ECD"/>
    <w:rsid w:val="005978D1"/>
    <w:rsid w:val="005A4E95"/>
    <w:rsid w:val="005B0260"/>
    <w:rsid w:val="005B0504"/>
    <w:rsid w:val="005B1846"/>
    <w:rsid w:val="005B50E4"/>
    <w:rsid w:val="005B5921"/>
    <w:rsid w:val="005B6B55"/>
    <w:rsid w:val="005B79A5"/>
    <w:rsid w:val="005C15DA"/>
    <w:rsid w:val="005C1BC6"/>
    <w:rsid w:val="005C3457"/>
    <w:rsid w:val="005C44DA"/>
    <w:rsid w:val="005C4C6A"/>
    <w:rsid w:val="005C560A"/>
    <w:rsid w:val="005C7800"/>
    <w:rsid w:val="005D0EA4"/>
    <w:rsid w:val="005D4B02"/>
    <w:rsid w:val="005D68EF"/>
    <w:rsid w:val="005D6D9C"/>
    <w:rsid w:val="005E031D"/>
    <w:rsid w:val="005E0544"/>
    <w:rsid w:val="005E11DE"/>
    <w:rsid w:val="005E3430"/>
    <w:rsid w:val="005E3680"/>
    <w:rsid w:val="005E38ED"/>
    <w:rsid w:val="005E4981"/>
    <w:rsid w:val="005E4EC9"/>
    <w:rsid w:val="005E560C"/>
    <w:rsid w:val="005E5782"/>
    <w:rsid w:val="005E6993"/>
    <w:rsid w:val="005E759C"/>
    <w:rsid w:val="005F0F24"/>
    <w:rsid w:val="005F28C7"/>
    <w:rsid w:val="005F4241"/>
    <w:rsid w:val="005F7A89"/>
    <w:rsid w:val="006023CA"/>
    <w:rsid w:val="00602920"/>
    <w:rsid w:val="00603E71"/>
    <w:rsid w:val="00603FE8"/>
    <w:rsid w:val="00604CE4"/>
    <w:rsid w:val="006056B1"/>
    <w:rsid w:val="00605A7E"/>
    <w:rsid w:val="0061213A"/>
    <w:rsid w:val="00612CA7"/>
    <w:rsid w:val="00613D97"/>
    <w:rsid w:val="00616A72"/>
    <w:rsid w:val="00621DF1"/>
    <w:rsid w:val="006243CC"/>
    <w:rsid w:val="00626325"/>
    <w:rsid w:val="006312FE"/>
    <w:rsid w:val="00631542"/>
    <w:rsid w:val="00632020"/>
    <w:rsid w:val="006324CB"/>
    <w:rsid w:val="00635466"/>
    <w:rsid w:val="00637A8E"/>
    <w:rsid w:val="0064036A"/>
    <w:rsid w:val="00640511"/>
    <w:rsid w:val="006418F0"/>
    <w:rsid w:val="00642A2A"/>
    <w:rsid w:val="00643BE9"/>
    <w:rsid w:val="00645147"/>
    <w:rsid w:val="0064527F"/>
    <w:rsid w:val="006454F0"/>
    <w:rsid w:val="006477EA"/>
    <w:rsid w:val="00650126"/>
    <w:rsid w:val="00650BF4"/>
    <w:rsid w:val="00654122"/>
    <w:rsid w:val="006549F9"/>
    <w:rsid w:val="0065543C"/>
    <w:rsid w:val="00655DF6"/>
    <w:rsid w:val="006568C0"/>
    <w:rsid w:val="00660524"/>
    <w:rsid w:val="00661BF7"/>
    <w:rsid w:val="00662E96"/>
    <w:rsid w:val="006648A6"/>
    <w:rsid w:val="00665A0A"/>
    <w:rsid w:val="00666ABC"/>
    <w:rsid w:val="00667039"/>
    <w:rsid w:val="00667F73"/>
    <w:rsid w:val="00671BF2"/>
    <w:rsid w:val="00671DE3"/>
    <w:rsid w:val="0067293F"/>
    <w:rsid w:val="006739F3"/>
    <w:rsid w:val="00675C8E"/>
    <w:rsid w:val="0068354A"/>
    <w:rsid w:val="0068488F"/>
    <w:rsid w:val="00687D89"/>
    <w:rsid w:val="0069169A"/>
    <w:rsid w:val="00691720"/>
    <w:rsid w:val="006946DD"/>
    <w:rsid w:val="00694C6E"/>
    <w:rsid w:val="00696031"/>
    <w:rsid w:val="0069630E"/>
    <w:rsid w:val="006971D4"/>
    <w:rsid w:val="0069720D"/>
    <w:rsid w:val="006A039C"/>
    <w:rsid w:val="006A06FC"/>
    <w:rsid w:val="006A14B8"/>
    <w:rsid w:val="006A3375"/>
    <w:rsid w:val="006A46A7"/>
    <w:rsid w:val="006B0525"/>
    <w:rsid w:val="006B0711"/>
    <w:rsid w:val="006B14AB"/>
    <w:rsid w:val="006B14CC"/>
    <w:rsid w:val="006B1CD8"/>
    <w:rsid w:val="006B5B44"/>
    <w:rsid w:val="006C13B7"/>
    <w:rsid w:val="006C13F5"/>
    <w:rsid w:val="006C1554"/>
    <w:rsid w:val="006C4373"/>
    <w:rsid w:val="006C464E"/>
    <w:rsid w:val="006C6A67"/>
    <w:rsid w:val="006C7DDC"/>
    <w:rsid w:val="006D15E2"/>
    <w:rsid w:val="006D21AB"/>
    <w:rsid w:val="006D2231"/>
    <w:rsid w:val="006D26D6"/>
    <w:rsid w:val="006D394A"/>
    <w:rsid w:val="006D4185"/>
    <w:rsid w:val="006D56C0"/>
    <w:rsid w:val="006D63BC"/>
    <w:rsid w:val="006D6D83"/>
    <w:rsid w:val="006D7EFF"/>
    <w:rsid w:val="006E0A18"/>
    <w:rsid w:val="006E26E8"/>
    <w:rsid w:val="006E2A44"/>
    <w:rsid w:val="006E539D"/>
    <w:rsid w:val="006E63EF"/>
    <w:rsid w:val="006E6C6B"/>
    <w:rsid w:val="006E74E2"/>
    <w:rsid w:val="006F1209"/>
    <w:rsid w:val="006F1490"/>
    <w:rsid w:val="006F1D46"/>
    <w:rsid w:val="006F2319"/>
    <w:rsid w:val="006F36EF"/>
    <w:rsid w:val="006F4055"/>
    <w:rsid w:val="006F4876"/>
    <w:rsid w:val="006F4EC6"/>
    <w:rsid w:val="006F79F9"/>
    <w:rsid w:val="00701004"/>
    <w:rsid w:val="00701DE2"/>
    <w:rsid w:val="00704878"/>
    <w:rsid w:val="00710ED2"/>
    <w:rsid w:val="007151A1"/>
    <w:rsid w:val="00717973"/>
    <w:rsid w:val="00717E3D"/>
    <w:rsid w:val="00717EDD"/>
    <w:rsid w:val="00727C92"/>
    <w:rsid w:val="007300AE"/>
    <w:rsid w:val="0073088D"/>
    <w:rsid w:val="00734219"/>
    <w:rsid w:val="00734755"/>
    <w:rsid w:val="0073655F"/>
    <w:rsid w:val="007403F5"/>
    <w:rsid w:val="00741CF1"/>
    <w:rsid w:val="00741FE0"/>
    <w:rsid w:val="007439A7"/>
    <w:rsid w:val="007446EE"/>
    <w:rsid w:val="00744FA0"/>
    <w:rsid w:val="00746744"/>
    <w:rsid w:val="007469BE"/>
    <w:rsid w:val="00750FE9"/>
    <w:rsid w:val="00752167"/>
    <w:rsid w:val="007523D7"/>
    <w:rsid w:val="007537A3"/>
    <w:rsid w:val="00754CC3"/>
    <w:rsid w:val="00755067"/>
    <w:rsid w:val="007569ED"/>
    <w:rsid w:val="007578CE"/>
    <w:rsid w:val="0076216E"/>
    <w:rsid w:val="00764CCE"/>
    <w:rsid w:val="00766A70"/>
    <w:rsid w:val="00770DE0"/>
    <w:rsid w:val="00771716"/>
    <w:rsid w:val="007717F7"/>
    <w:rsid w:val="00772536"/>
    <w:rsid w:val="00772CF7"/>
    <w:rsid w:val="00773B5E"/>
    <w:rsid w:val="00773E86"/>
    <w:rsid w:val="00774978"/>
    <w:rsid w:val="00774A47"/>
    <w:rsid w:val="00777E67"/>
    <w:rsid w:val="00777EDC"/>
    <w:rsid w:val="0078052E"/>
    <w:rsid w:val="00781395"/>
    <w:rsid w:val="00782926"/>
    <w:rsid w:val="007843EC"/>
    <w:rsid w:val="00785EE9"/>
    <w:rsid w:val="00790084"/>
    <w:rsid w:val="007901B2"/>
    <w:rsid w:val="00792E9A"/>
    <w:rsid w:val="0079394F"/>
    <w:rsid w:val="00793E88"/>
    <w:rsid w:val="0079413A"/>
    <w:rsid w:val="007946D2"/>
    <w:rsid w:val="00794B92"/>
    <w:rsid w:val="007970C6"/>
    <w:rsid w:val="007A0C3C"/>
    <w:rsid w:val="007A314F"/>
    <w:rsid w:val="007A3BFF"/>
    <w:rsid w:val="007A4064"/>
    <w:rsid w:val="007A4EF8"/>
    <w:rsid w:val="007A57CF"/>
    <w:rsid w:val="007B0815"/>
    <w:rsid w:val="007B2D56"/>
    <w:rsid w:val="007B4579"/>
    <w:rsid w:val="007B5A16"/>
    <w:rsid w:val="007B5BB3"/>
    <w:rsid w:val="007B7DE0"/>
    <w:rsid w:val="007C357D"/>
    <w:rsid w:val="007C3BB6"/>
    <w:rsid w:val="007C3CB6"/>
    <w:rsid w:val="007C4270"/>
    <w:rsid w:val="007C478F"/>
    <w:rsid w:val="007C494A"/>
    <w:rsid w:val="007C5F06"/>
    <w:rsid w:val="007D011F"/>
    <w:rsid w:val="007D4012"/>
    <w:rsid w:val="007D6EAF"/>
    <w:rsid w:val="007D7BAF"/>
    <w:rsid w:val="007D7CAA"/>
    <w:rsid w:val="007D7D03"/>
    <w:rsid w:val="007E1E6B"/>
    <w:rsid w:val="007E2F6D"/>
    <w:rsid w:val="007E2F88"/>
    <w:rsid w:val="007E7831"/>
    <w:rsid w:val="007E78F2"/>
    <w:rsid w:val="007F0392"/>
    <w:rsid w:val="007F149A"/>
    <w:rsid w:val="007F1555"/>
    <w:rsid w:val="007F2187"/>
    <w:rsid w:val="007F342F"/>
    <w:rsid w:val="007F36C7"/>
    <w:rsid w:val="007F5FC6"/>
    <w:rsid w:val="007F727E"/>
    <w:rsid w:val="007F72C3"/>
    <w:rsid w:val="00800F85"/>
    <w:rsid w:val="0080157D"/>
    <w:rsid w:val="00801FC6"/>
    <w:rsid w:val="008061F5"/>
    <w:rsid w:val="0080704A"/>
    <w:rsid w:val="00810A02"/>
    <w:rsid w:val="00810CA1"/>
    <w:rsid w:val="00810FFD"/>
    <w:rsid w:val="0081227B"/>
    <w:rsid w:val="008127CE"/>
    <w:rsid w:val="008130AB"/>
    <w:rsid w:val="008135CD"/>
    <w:rsid w:val="008173EA"/>
    <w:rsid w:val="00817528"/>
    <w:rsid w:val="008209D4"/>
    <w:rsid w:val="008213B9"/>
    <w:rsid w:val="00821B9C"/>
    <w:rsid w:val="00821FA5"/>
    <w:rsid w:val="00823832"/>
    <w:rsid w:val="008244E9"/>
    <w:rsid w:val="008254BE"/>
    <w:rsid w:val="00826DE3"/>
    <w:rsid w:val="0083159E"/>
    <w:rsid w:val="00831B76"/>
    <w:rsid w:val="008320D5"/>
    <w:rsid w:val="00833C12"/>
    <w:rsid w:val="008364D8"/>
    <w:rsid w:val="00836779"/>
    <w:rsid w:val="008372D9"/>
    <w:rsid w:val="0084184A"/>
    <w:rsid w:val="00842E01"/>
    <w:rsid w:val="0084377A"/>
    <w:rsid w:val="00843C47"/>
    <w:rsid w:val="00847499"/>
    <w:rsid w:val="00847FC6"/>
    <w:rsid w:val="00851B50"/>
    <w:rsid w:val="00851CF5"/>
    <w:rsid w:val="008535F7"/>
    <w:rsid w:val="00854C30"/>
    <w:rsid w:val="00855DBB"/>
    <w:rsid w:val="0085666A"/>
    <w:rsid w:val="00856A23"/>
    <w:rsid w:val="00860FA1"/>
    <w:rsid w:val="00863E84"/>
    <w:rsid w:val="00865240"/>
    <w:rsid w:val="0086625C"/>
    <w:rsid w:val="008673A1"/>
    <w:rsid w:val="008710DD"/>
    <w:rsid w:val="008721E0"/>
    <w:rsid w:val="0087580C"/>
    <w:rsid w:val="008759A8"/>
    <w:rsid w:val="00875E1D"/>
    <w:rsid w:val="00876021"/>
    <w:rsid w:val="008761A1"/>
    <w:rsid w:val="0088006C"/>
    <w:rsid w:val="00880A2A"/>
    <w:rsid w:val="00882D47"/>
    <w:rsid w:val="00883164"/>
    <w:rsid w:val="0088325F"/>
    <w:rsid w:val="008854AF"/>
    <w:rsid w:val="00885CD2"/>
    <w:rsid w:val="008913D5"/>
    <w:rsid w:val="00891A4D"/>
    <w:rsid w:val="00892669"/>
    <w:rsid w:val="00894FF4"/>
    <w:rsid w:val="008A1ECC"/>
    <w:rsid w:val="008A21A9"/>
    <w:rsid w:val="008A431D"/>
    <w:rsid w:val="008A6B84"/>
    <w:rsid w:val="008A6BDD"/>
    <w:rsid w:val="008B2D5F"/>
    <w:rsid w:val="008B3192"/>
    <w:rsid w:val="008B35D9"/>
    <w:rsid w:val="008B3A3F"/>
    <w:rsid w:val="008B3A58"/>
    <w:rsid w:val="008B62CC"/>
    <w:rsid w:val="008C0EBD"/>
    <w:rsid w:val="008C16CE"/>
    <w:rsid w:val="008C1A47"/>
    <w:rsid w:val="008C2FE4"/>
    <w:rsid w:val="008C31F3"/>
    <w:rsid w:val="008C484A"/>
    <w:rsid w:val="008C5E2A"/>
    <w:rsid w:val="008C6C3F"/>
    <w:rsid w:val="008C7786"/>
    <w:rsid w:val="008D1DB7"/>
    <w:rsid w:val="008D2412"/>
    <w:rsid w:val="008D35E1"/>
    <w:rsid w:val="008D46B3"/>
    <w:rsid w:val="008D5F62"/>
    <w:rsid w:val="008D67A8"/>
    <w:rsid w:val="008D7320"/>
    <w:rsid w:val="008E0797"/>
    <w:rsid w:val="008E0A0C"/>
    <w:rsid w:val="008E1202"/>
    <w:rsid w:val="008E2712"/>
    <w:rsid w:val="008E330C"/>
    <w:rsid w:val="008E360D"/>
    <w:rsid w:val="008E51E6"/>
    <w:rsid w:val="008F022B"/>
    <w:rsid w:val="008F0C4B"/>
    <w:rsid w:val="008F17BC"/>
    <w:rsid w:val="008F2941"/>
    <w:rsid w:val="008F31D6"/>
    <w:rsid w:val="008F36D6"/>
    <w:rsid w:val="008F3AC2"/>
    <w:rsid w:val="008F434A"/>
    <w:rsid w:val="008F60BE"/>
    <w:rsid w:val="008F70C3"/>
    <w:rsid w:val="008F7A31"/>
    <w:rsid w:val="0090048D"/>
    <w:rsid w:val="00900D77"/>
    <w:rsid w:val="00902A4F"/>
    <w:rsid w:val="00902EB8"/>
    <w:rsid w:val="0090344F"/>
    <w:rsid w:val="009039D3"/>
    <w:rsid w:val="00903B4C"/>
    <w:rsid w:val="00904CDF"/>
    <w:rsid w:val="009059FF"/>
    <w:rsid w:val="0090622E"/>
    <w:rsid w:val="00910826"/>
    <w:rsid w:val="00911CDD"/>
    <w:rsid w:val="009123F0"/>
    <w:rsid w:val="00912CAF"/>
    <w:rsid w:val="00912D70"/>
    <w:rsid w:val="00913C29"/>
    <w:rsid w:val="00915933"/>
    <w:rsid w:val="00917132"/>
    <w:rsid w:val="00917604"/>
    <w:rsid w:val="00920B4A"/>
    <w:rsid w:val="00921D54"/>
    <w:rsid w:val="0092241B"/>
    <w:rsid w:val="009252D2"/>
    <w:rsid w:val="00927458"/>
    <w:rsid w:val="00930580"/>
    <w:rsid w:val="009318E8"/>
    <w:rsid w:val="00931BCF"/>
    <w:rsid w:val="00932532"/>
    <w:rsid w:val="009328C4"/>
    <w:rsid w:val="00932D7E"/>
    <w:rsid w:val="009349C1"/>
    <w:rsid w:val="0093500F"/>
    <w:rsid w:val="009352D9"/>
    <w:rsid w:val="00935AEC"/>
    <w:rsid w:val="009363A8"/>
    <w:rsid w:val="00936544"/>
    <w:rsid w:val="009369E2"/>
    <w:rsid w:val="009374CA"/>
    <w:rsid w:val="0094111B"/>
    <w:rsid w:val="00943613"/>
    <w:rsid w:val="009463F5"/>
    <w:rsid w:val="00946E3D"/>
    <w:rsid w:val="00950698"/>
    <w:rsid w:val="00950CD1"/>
    <w:rsid w:val="00951F92"/>
    <w:rsid w:val="00952853"/>
    <w:rsid w:val="009531A1"/>
    <w:rsid w:val="0095534A"/>
    <w:rsid w:val="0095554C"/>
    <w:rsid w:val="00955D29"/>
    <w:rsid w:val="00960C38"/>
    <w:rsid w:val="00961172"/>
    <w:rsid w:val="00961F85"/>
    <w:rsid w:val="00962B54"/>
    <w:rsid w:val="00964384"/>
    <w:rsid w:val="00964E7B"/>
    <w:rsid w:val="0096619A"/>
    <w:rsid w:val="0096657B"/>
    <w:rsid w:val="00966891"/>
    <w:rsid w:val="00967D0B"/>
    <w:rsid w:val="00967F3D"/>
    <w:rsid w:val="00971E38"/>
    <w:rsid w:val="00971F4A"/>
    <w:rsid w:val="00975621"/>
    <w:rsid w:val="009831D6"/>
    <w:rsid w:val="00983ADB"/>
    <w:rsid w:val="00983CA4"/>
    <w:rsid w:val="009847FF"/>
    <w:rsid w:val="00984BE2"/>
    <w:rsid w:val="00984CC5"/>
    <w:rsid w:val="00986049"/>
    <w:rsid w:val="00986F53"/>
    <w:rsid w:val="009904A2"/>
    <w:rsid w:val="0099092B"/>
    <w:rsid w:val="009926FC"/>
    <w:rsid w:val="00994215"/>
    <w:rsid w:val="00994A3F"/>
    <w:rsid w:val="009951E1"/>
    <w:rsid w:val="009970C0"/>
    <w:rsid w:val="009A026E"/>
    <w:rsid w:val="009A078E"/>
    <w:rsid w:val="009A0AB1"/>
    <w:rsid w:val="009A0F02"/>
    <w:rsid w:val="009A2AD6"/>
    <w:rsid w:val="009A2DC8"/>
    <w:rsid w:val="009A4756"/>
    <w:rsid w:val="009A6E4D"/>
    <w:rsid w:val="009A773E"/>
    <w:rsid w:val="009A7CC9"/>
    <w:rsid w:val="009B0D08"/>
    <w:rsid w:val="009B1A98"/>
    <w:rsid w:val="009B2FF0"/>
    <w:rsid w:val="009B4428"/>
    <w:rsid w:val="009B56CB"/>
    <w:rsid w:val="009B69DF"/>
    <w:rsid w:val="009B6C29"/>
    <w:rsid w:val="009B752E"/>
    <w:rsid w:val="009B7C23"/>
    <w:rsid w:val="009C08AC"/>
    <w:rsid w:val="009C0ABF"/>
    <w:rsid w:val="009C1102"/>
    <w:rsid w:val="009C1174"/>
    <w:rsid w:val="009C2F37"/>
    <w:rsid w:val="009C6605"/>
    <w:rsid w:val="009C746C"/>
    <w:rsid w:val="009D02FB"/>
    <w:rsid w:val="009D10D3"/>
    <w:rsid w:val="009D154A"/>
    <w:rsid w:val="009D18AE"/>
    <w:rsid w:val="009D3953"/>
    <w:rsid w:val="009D3A77"/>
    <w:rsid w:val="009E03F1"/>
    <w:rsid w:val="009E108A"/>
    <w:rsid w:val="009E187A"/>
    <w:rsid w:val="009E306B"/>
    <w:rsid w:val="009E36B4"/>
    <w:rsid w:val="009E3B5A"/>
    <w:rsid w:val="009E43A5"/>
    <w:rsid w:val="009E4769"/>
    <w:rsid w:val="009E5A18"/>
    <w:rsid w:val="009E5B7E"/>
    <w:rsid w:val="009E5FC2"/>
    <w:rsid w:val="009F0B17"/>
    <w:rsid w:val="009F1B6E"/>
    <w:rsid w:val="009F2679"/>
    <w:rsid w:val="009F332C"/>
    <w:rsid w:val="009F484E"/>
    <w:rsid w:val="009F509C"/>
    <w:rsid w:val="009F56C2"/>
    <w:rsid w:val="009F6981"/>
    <w:rsid w:val="00A04B9C"/>
    <w:rsid w:val="00A05D96"/>
    <w:rsid w:val="00A06078"/>
    <w:rsid w:val="00A061CF"/>
    <w:rsid w:val="00A11AB1"/>
    <w:rsid w:val="00A11D6C"/>
    <w:rsid w:val="00A12D72"/>
    <w:rsid w:val="00A15233"/>
    <w:rsid w:val="00A1565E"/>
    <w:rsid w:val="00A15694"/>
    <w:rsid w:val="00A15E04"/>
    <w:rsid w:val="00A17C8B"/>
    <w:rsid w:val="00A17E90"/>
    <w:rsid w:val="00A20AA4"/>
    <w:rsid w:val="00A20D22"/>
    <w:rsid w:val="00A20EEE"/>
    <w:rsid w:val="00A20F6E"/>
    <w:rsid w:val="00A21FED"/>
    <w:rsid w:val="00A22E91"/>
    <w:rsid w:val="00A2376A"/>
    <w:rsid w:val="00A24404"/>
    <w:rsid w:val="00A249CA"/>
    <w:rsid w:val="00A251F9"/>
    <w:rsid w:val="00A264CD"/>
    <w:rsid w:val="00A27791"/>
    <w:rsid w:val="00A316A6"/>
    <w:rsid w:val="00A316CD"/>
    <w:rsid w:val="00A32392"/>
    <w:rsid w:val="00A326C1"/>
    <w:rsid w:val="00A33014"/>
    <w:rsid w:val="00A33C3F"/>
    <w:rsid w:val="00A3534B"/>
    <w:rsid w:val="00A35EEB"/>
    <w:rsid w:val="00A36E06"/>
    <w:rsid w:val="00A37105"/>
    <w:rsid w:val="00A3743D"/>
    <w:rsid w:val="00A41AF7"/>
    <w:rsid w:val="00A43896"/>
    <w:rsid w:val="00A44805"/>
    <w:rsid w:val="00A45788"/>
    <w:rsid w:val="00A478E5"/>
    <w:rsid w:val="00A51269"/>
    <w:rsid w:val="00A5185F"/>
    <w:rsid w:val="00A52E73"/>
    <w:rsid w:val="00A5461C"/>
    <w:rsid w:val="00A566C3"/>
    <w:rsid w:val="00A5782A"/>
    <w:rsid w:val="00A57DC7"/>
    <w:rsid w:val="00A60C75"/>
    <w:rsid w:val="00A6184B"/>
    <w:rsid w:val="00A628BC"/>
    <w:rsid w:val="00A62F05"/>
    <w:rsid w:val="00A63828"/>
    <w:rsid w:val="00A67BE6"/>
    <w:rsid w:val="00A700EE"/>
    <w:rsid w:val="00A705E3"/>
    <w:rsid w:val="00A72716"/>
    <w:rsid w:val="00A736B6"/>
    <w:rsid w:val="00A73936"/>
    <w:rsid w:val="00A74556"/>
    <w:rsid w:val="00A77B7D"/>
    <w:rsid w:val="00A822E3"/>
    <w:rsid w:val="00A83C64"/>
    <w:rsid w:val="00A844A4"/>
    <w:rsid w:val="00A87243"/>
    <w:rsid w:val="00A9013C"/>
    <w:rsid w:val="00A905F0"/>
    <w:rsid w:val="00A908BC"/>
    <w:rsid w:val="00A913E9"/>
    <w:rsid w:val="00A9291A"/>
    <w:rsid w:val="00A92F62"/>
    <w:rsid w:val="00A94869"/>
    <w:rsid w:val="00A9791E"/>
    <w:rsid w:val="00A97DD9"/>
    <w:rsid w:val="00AA3857"/>
    <w:rsid w:val="00AA3AF9"/>
    <w:rsid w:val="00AA4335"/>
    <w:rsid w:val="00AA4B23"/>
    <w:rsid w:val="00AB0DFE"/>
    <w:rsid w:val="00AB2AD5"/>
    <w:rsid w:val="00AB2B17"/>
    <w:rsid w:val="00AB3AB0"/>
    <w:rsid w:val="00AB5ED0"/>
    <w:rsid w:val="00AC00A6"/>
    <w:rsid w:val="00AC3D07"/>
    <w:rsid w:val="00AC4467"/>
    <w:rsid w:val="00AC4E0D"/>
    <w:rsid w:val="00AC585B"/>
    <w:rsid w:val="00AC766E"/>
    <w:rsid w:val="00AD0D43"/>
    <w:rsid w:val="00AD5805"/>
    <w:rsid w:val="00AD59D3"/>
    <w:rsid w:val="00AD7197"/>
    <w:rsid w:val="00AE080A"/>
    <w:rsid w:val="00AE3488"/>
    <w:rsid w:val="00AE561D"/>
    <w:rsid w:val="00AE598E"/>
    <w:rsid w:val="00AE6505"/>
    <w:rsid w:val="00AE6516"/>
    <w:rsid w:val="00AF0882"/>
    <w:rsid w:val="00AF1CE0"/>
    <w:rsid w:val="00AF2CA4"/>
    <w:rsid w:val="00B01B86"/>
    <w:rsid w:val="00B02558"/>
    <w:rsid w:val="00B030A1"/>
    <w:rsid w:val="00B05143"/>
    <w:rsid w:val="00B1216A"/>
    <w:rsid w:val="00B14B34"/>
    <w:rsid w:val="00B14CAC"/>
    <w:rsid w:val="00B172AD"/>
    <w:rsid w:val="00B20167"/>
    <w:rsid w:val="00B207EC"/>
    <w:rsid w:val="00B2132C"/>
    <w:rsid w:val="00B21AF4"/>
    <w:rsid w:val="00B22FD5"/>
    <w:rsid w:val="00B23B67"/>
    <w:rsid w:val="00B240C4"/>
    <w:rsid w:val="00B24754"/>
    <w:rsid w:val="00B249FC"/>
    <w:rsid w:val="00B24A14"/>
    <w:rsid w:val="00B26A3C"/>
    <w:rsid w:val="00B26B61"/>
    <w:rsid w:val="00B26D94"/>
    <w:rsid w:val="00B270D5"/>
    <w:rsid w:val="00B33FC4"/>
    <w:rsid w:val="00B36299"/>
    <w:rsid w:val="00B4069A"/>
    <w:rsid w:val="00B40804"/>
    <w:rsid w:val="00B41676"/>
    <w:rsid w:val="00B5003F"/>
    <w:rsid w:val="00B52732"/>
    <w:rsid w:val="00B52909"/>
    <w:rsid w:val="00B55B53"/>
    <w:rsid w:val="00B57788"/>
    <w:rsid w:val="00B621D1"/>
    <w:rsid w:val="00B6245B"/>
    <w:rsid w:val="00B65BBF"/>
    <w:rsid w:val="00B6797C"/>
    <w:rsid w:val="00B70CAE"/>
    <w:rsid w:val="00B73B1B"/>
    <w:rsid w:val="00B74B50"/>
    <w:rsid w:val="00B74B94"/>
    <w:rsid w:val="00B77101"/>
    <w:rsid w:val="00B80AB9"/>
    <w:rsid w:val="00B810B4"/>
    <w:rsid w:val="00B82619"/>
    <w:rsid w:val="00B83DAE"/>
    <w:rsid w:val="00B8528B"/>
    <w:rsid w:val="00B852B9"/>
    <w:rsid w:val="00B85477"/>
    <w:rsid w:val="00B8732C"/>
    <w:rsid w:val="00B875B9"/>
    <w:rsid w:val="00B9001C"/>
    <w:rsid w:val="00B9044B"/>
    <w:rsid w:val="00B91B89"/>
    <w:rsid w:val="00B92C19"/>
    <w:rsid w:val="00B93BE0"/>
    <w:rsid w:val="00B94FDB"/>
    <w:rsid w:val="00B95745"/>
    <w:rsid w:val="00B9765F"/>
    <w:rsid w:val="00BA16B6"/>
    <w:rsid w:val="00BA1E98"/>
    <w:rsid w:val="00BA25AC"/>
    <w:rsid w:val="00BA68CC"/>
    <w:rsid w:val="00BB1042"/>
    <w:rsid w:val="00BB11D4"/>
    <w:rsid w:val="00BB3995"/>
    <w:rsid w:val="00BB57BF"/>
    <w:rsid w:val="00BB6503"/>
    <w:rsid w:val="00BC2B71"/>
    <w:rsid w:val="00BC2F4A"/>
    <w:rsid w:val="00BC336E"/>
    <w:rsid w:val="00BC3948"/>
    <w:rsid w:val="00BD0879"/>
    <w:rsid w:val="00BD0C03"/>
    <w:rsid w:val="00BD22B3"/>
    <w:rsid w:val="00BD3B9C"/>
    <w:rsid w:val="00BD6719"/>
    <w:rsid w:val="00BD6A1E"/>
    <w:rsid w:val="00BD7004"/>
    <w:rsid w:val="00BD708C"/>
    <w:rsid w:val="00BD7BBF"/>
    <w:rsid w:val="00BE00AA"/>
    <w:rsid w:val="00BE2CFD"/>
    <w:rsid w:val="00BE32BB"/>
    <w:rsid w:val="00BE3C87"/>
    <w:rsid w:val="00BE4C1F"/>
    <w:rsid w:val="00BE5906"/>
    <w:rsid w:val="00BE66EA"/>
    <w:rsid w:val="00BE70D2"/>
    <w:rsid w:val="00BE7124"/>
    <w:rsid w:val="00BF011F"/>
    <w:rsid w:val="00BF1D25"/>
    <w:rsid w:val="00BF1D9F"/>
    <w:rsid w:val="00BF5301"/>
    <w:rsid w:val="00BF590B"/>
    <w:rsid w:val="00BF70BC"/>
    <w:rsid w:val="00BF7184"/>
    <w:rsid w:val="00C00B1C"/>
    <w:rsid w:val="00C01360"/>
    <w:rsid w:val="00C01B2E"/>
    <w:rsid w:val="00C01EE4"/>
    <w:rsid w:val="00C03F01"/>
    <w:rsid w:val="00C05D4F"/>
    <w:rsid w:val="00C07CCE"/>
    <w:rsid w:val="00C10093"/>
    <w:rsid w:val="00C100E3"/>
    <w:rsid w:val="00C11540"/>
    <w:rsid w:val="00C1205E"/>
    <w:rsid w:val="00C12182"/>
    <w:rsid w:val="00C12839"/>
    <w:rsid w:val="00C1313A"/>
    <w:rsid w:val="00C1468F"/>
    <w:rsid w:val="00C16C7B"/>
    <w:rsid w:val="00C16F77"/>
    <w:rsid w:val="00C2134F"/>
    <w:rsid w:val="00C21372"/>
    <w:rsid w:val="00C23C1D"/>
    <w:rsid w:val="00C24E96"/>
    <w:rsid w:val="00C2503C"/>
    <w:rsid w:val="00C2670C"/>
    <w:rsid w:val="00C275D1"/>
    <w:rsid w:val="00C30A70"/>
    <w:rsid w:val="00C32837"/>
    <w:rsid w:val="00C32DC3"/>
    <w:rsid w:val="00C3487A"/>
    <w:rsid w:val="00C34A63"/>
    <w:rsid w:val="00C35400"/>
    <w:rsid w:val="00C358DA"/>
    <w:rsid w:val="00C35DA6"/>
    <w:rsid w:val="00C36EAF"/>
    <w:rsid w:val="00C403D1"/>
    <w:rsid w:val="00C45B86"/>
    <w:rsid w:val="00C517F0"/>
    <w:rsid w:val="00C529DF"/>
    <w:rsid w:val="00C52CD4"/>
    <w:rsid w:val="00C54CB7"/>
    <w:rsid w:val="00C6010A"/>
    <w:rsid w:val="00C61C28"/>
    <w:rsid w:val="00C62EA5"/>
    <w:rsid w:val="00C63382"/>
    <w:rsid w:val="00C659C3"/>
    <w:rsid w:val="00C725C8"/>
    <w:rsid w:val="00C73DAD"/>
    <w:rsid w:val="00C746BC"/>
    <w:rsid w:val="00C76486"/>
    <w:rsid w:val="00C764CD"/>
    <w:rsid w:val="00C81095"/>
    <w:rsid w:val="00C813E7"/>
    <w:rsid w:val="00C84030"/>
    <w:rsid w:val="00C86BDF"/>
    <w:rsid w:val="00C86F77"/>
    <w:rsid w:val="00C929A5"/>
    <w:rsid w:val="00C93AB1"/>
    <w:rsid w:val="00C954D4"/>
    <w:rsid w:val="00C96DBB"/>
    <w:rsid w:val="00CA00E1"/>
    <w:rsid w:val="00CA0621"/>
    <w:rsid w:val="00CA0E25"/>
    <w:rsid w:val="00CA145D"/>
    <w:rsid w:val="00CA172F"/>
    <w:rsid w:val="00CA349D"/>
    <w:rsid w:val="00CA4E81"/>
    <w:rsid w:val="00CA678F"/>
    <w:rsid w:val="00CA78C6"/>
    <w:rsid w:val="00CB14BB"/>
    <w:rsid w:val="00CB2F47"/>
    <w:rsid w:val="00CB6B73"/>
    <w:rsid w:val="00CB7236"/>
    <w:rsid w:val="00CB728B"/>
    <w:rsid w:val="00CB748D"/>
    <w:rsid w:val="00CB789D"/>
    <w:rsid w:val="00CC1AFA"/>
    <w:rsid w:val="00CC2603"/>
    <w:rsid w:val="00CC4C96"/>
    <w:rsid w:val="00CC6041"/>
    <w:rsid w:val="00CC63BE"/>
    <w:rsid w:val="00CC6AAF"/>
    <w:rsid w:val="00CD0D65"/>
    <w:rsid w:val="00CD14F3"/>
    <w:rsid w:val="00CD152D"/>
    <w:rsid w:val="00CD3BD1"/>
    <w:rsid w:val="00CD42CE"/>
    <w:rsid w:val="00CD6E85"/>
    <w:rsid w:val="00CD729B"/>
    <w:rsid w:val="00CE37C5"/>
    <w:rsid w:val="00CE438F"/>
    <w:rsid w:val="00CE4855"/>
    <w:rsid w:val="00CE77D0"/>
    <w:rsid w:val="00CE7D34"/>
    <w:rsid w:val="00CF2E39"/>
    <w:rsid w:val="00CF46EB"/>
    <w:rsid w:val="00CF51D7"/>
    <w:rsid w:val="00CF6344"/>
    <w:rsid w:val="00D022EF"/>
    <w:rsid w:val="00D10A9D"/>
    <w:rsid w:val="00D12A53"/>
    <w:rsid w:val="00D12B9C"/>
    <w:rsid w:val="00D13152"/>
    <w:rsid w:val="00D14FFA"/>
    <w:rsid w:val="00D16045"/>
    <w:rsid w:val="00D1606D"/>
    <w:rsid w:val="00D16F9D"/>
    <w:rsid w:val="00D17A76"/>
    <w:rsid w:val="00D213E1"/>
    <w:rsid w:val="00D2250B"/>
    <w:rsid w:val="00D231A4"/>
    <w:rsid w:val="00D233A1"/>
    <w:rsid w:val="00D256E9"/>
    <w:rsid w:val="00D26DC1"/>
    <w:rsid w:val="00D30F20"/>
    <w:rsid w:val="00D30FDB"/>
    <w:rsid w:val="00D31090"/>
    <w:rsid w:val="00D34542"/>
    <w:rsid w:val="00D353E4"/>
    <w:rsid w:val="00D370C9"/>
    <w:rsid w:val="00D406E3"/>
    <w:rsid w:val="00D40C5B"/>
    <w:rsid w:val="00D43DF0"/>
    <w:rsid w:val="00D4412B"/>
    <w:rsid w:val="00D4442A"/>
    <w:rsid w:val="00D45579"/>
    <w:rsid w:val="00D46450"/>
    <w:rsid w:val="00D47A00"/>
    <w:rsid w:val="00D502EA"/>
    <w:rsid w:val="00D50BA8"/>
    <w:rsid w:val="00D53B4B"/>
    <w:rsid w:val="00D5467B"/>
    <w:rsid w:val="00D54C6F"/>
    <w:rsid w:val="00D56F88"/>
    <w:rsid w:val="00D57776"/>
    <w:rsid w:val="00D60CA8"/>
    <w:rsid w:val="00D62195"/>
    <w:rsid w:val="00D623B8"/>
    <w:rsid w:val="00D6244C"/>
    <w:rsid w:val="00D64010"/>
    <w:rsid w:val="00D642B6"/>
    <w:rsid w:val="00D6447D"/>
    <w:rsid w:val="00D6530B"/>
    <w:rsid w:val="00D65DFF"/>
    <w:rsid w:val="00D664CD"/>
    <w:rsid w:val="00D66D43"/>
    <w:rsid w:val="00D67EAB"/>
    <w:rsid w:val="00D7233C"/>
    <w:rsid w:val="00D73FC6"/>
    <w:rsid w:val="00D7421B"/>
    <w:rsid w:val="00D7443B"/>
    <w:rsid w:val="00D758E5"/>
    <w:rsid w:val="00D75BFE"/>
    <w:rsid w:val="00D773FE"/>
    <w:rsid w:val="00D81826"/>
    <w:rsid w:val="00D81920"/>
    <w:rsid w:val="00D81D4E"/>
    <w:rsid w:val="00D826BD"/>
    <w:rsid w:val="00D845E3"/>
    <w:rsid w:val="00D8493A"/>
    <w:rsid w:val="00D86497"/>
    <w:rsid w:val="00D878A4"/>
    <w:rsid w:val="00D8798C"/>
    <w:rsid w:val="00D907B0"/>
    <w:rsid w:val="00D947D4"/>
    <w:rsid w:val="00D9667F"/>
    <w:rsid w:val="00D96F43"/>
    <w:rsid w:val="00DA0812"/>
    <w:rsid w:val="00DA1539"/>
    <w:rsid w:val="00DA1B65"/>
    <w:rsid w:val="00DA1BBF"/>
    <w:rsid w:val="00DA24C0"/>
    <w:rsid w:val="00DA3167"/>
    <w:rsid w:val="00DA3549"/>
    <w:rsid w:val="00DA4BDA"/>
    <w:rsid w:val="00DA7B8E"/>
    <w:rsid w:val="00DB07DF"/>
    <w:rsid w:val="00DB0E38"/>
    <w:rsid w:val="00DB699C"/>
    <w:rsid w:val="00DC1D55"/>
    <w:rsid w:val="00DC3E99"/>
    <w:rsid w:val="00DC4A4F"/>
    <w:rsid w:val="00DC6DBE"/>
    <w:rsid w:val="00DD04D8"/>
    <w:rsid w:val="00DD1E20"/>
    <w:rsid w:val="00DD2CC6"/>
    <w:rsid w:val="00DD40EA"/>
    <w:rsid w:val="00DD46B5"/>
    <w:rsid w:val="00DD4AE9"/>
    <w:rsid w:val="00DD535E"/>
    <w:rsid w:val="00DD54EA"/>
    <w:rsid w:val="00DD58CA"/>
    <w:rsid w:val="00DE3257"/>
    <w:rsid w:val="00DE3F8F"/>
    <w:rsid w:val="00DE43BB"/>
    <w:rsid w:val="00DE6243"/>
    <w:rsid w:val="00DF1629"/>
    <w:rsid w:val="00DF5243"/>
    <w:rsid w:val="00DF6312"/>
    <w:rsid w:val="00DF6D00"/>
    <w:rsid w:val="00E008B5"/>
    <w:rsid w:val="00E03025"/>
    <w:rsid w:val="00E04DEA"/>
    <w:rsid w:val="00E0653F"/>
    <w:rsid w:val="00E06F63"/>
    <w:rsid w:val="00E10C54"/>
    <w:rsid w:val="00E113BA"/>
    <w:rsid w:val="00E11D58"/>
    <w:rsid w:val="00E134D0"/>
    <w:rsid w:val="00E13872"/>
    <w:rsid w:val="00E158F1"/>
    <w:rsid w:val="00E161E0"/>
    <w:rsid w:val="00E218B2"/>
    <w:rsid w:val="00E223E7"/>
    <w:rsid w:val="00E2331E"/>
    <w:rsid w:val="00E234CC"/>
    <w:rsid w:val="00E237FF"/>
    <w:rsid w:val="00E254D2"/>
    <w:rsid w:val="00E258C4"/>
    <w:rsid w:val="00E27090"/>
    <w:rsid w:val="00E30D78"/>
    <w:rsid w:val="00E31DCD"/>
    <w:rsid w:val="00E35031"/>
    <w:rsid w:val="00E37A4E"/>
    <w:rsid w:val="00E407C3"/>
    <w:rsid w:val="00E409BD"/>
    <w:rsid w:val="00E41855"/>
    <w:rsid w:val="00E41EEA"/>
    <w:rsid w:val="00E42AE1"/>
    <w:rsid w:val="00E42C5C"/>
    <w:rsid w:val="00E45960"/>
    <w:rsid w:val="00E50FC3"/>
    <w:rsid w:val="00E514C4"/>
    <w:rsid w:val="00E51578"/>
    <w:rsid w:val="00E51F81"/>
    <w:rsid w:val="00E52193"/>
    <w:rsid w:val="00E52671"/>
    <w:rsid w:val="00E52B37"/>
    <w:rsid w:val="00E52E88"/>
    <w:rsid w:val="00E538C0"/>
    <w:rsid w:val="00E548F5"/>
    <w:rsid w:val="00E56348"/>
    <w:rsid w:val="00E56B37"/>
    <w:rsid w:val="00E57DAF"/>
    <w:rsid w:val="00E57F25"/>
    <w:rsid w:val="00E60B2C"/>
    <w:rsid w:val="00E619CD"/>
    <w:rsid w:val="00E61E6F"/>
    <w:rsid w:val="00E61F1A"/>
    <w:rsid w:val="00E64BB9"/>
    <w:rsid w:val="00E6559F"/>
    <w:rsid w:val="00E72142"/>
    <w:rsid w:val="00E721D8"/>
    <w:rsid w:val="00E7773A"/>
    <w:rsid w:val="00E80DB7"/>
    <w:rsid w:val="00E824AA"/>
    <w:rsid w:val="00E83DF2"/>
    <w:rsid w:val="00E856E5"/>
    <w:rsid w:val="00E864F2"/>
    <w:rsid w:val="00E95786"/>
    <w:rsid w:val="00E9699C"/>
    <w:rsid w:val="00E97B27"/>
    <w:rsid w:val="00E97C3D"/>
    <w:rsid w:val="00EA102E"/>
    <w:rsid w:val="00EA156D"/>
    <w:rsid w:val="00EA15FB"/>
    <w:rsid w:val="00EA2460"/>
    <w:rsid w:val="00EA2C91"/>
    <w:rsid w:val="00EA5E46"/>
    <w:rsid w:val="00EA750C"/>
    <w:rsid w:val="00EA7B63"/>
    <w:rsid w:val="00EA7D28"/>
    <w:rsid w:val="00EB0EAF"/>
    <w:rsid w:val="00EB6091"/>
    <w:rsid w:val="00EB7264"/>
    <w:rsid w:val="00EC6E4D"/>
    <w:rsid w:val="00EC7A75"/>
    <w:rsid w:val="00EC7DB7"/>
    <w:rsid w:val="00ED0ECB"/>
    <w:rsid w:val="00ED42E5"/>
    <w:rsid w:val="00ED5ADD"/>
    <w:rsid w:val="00ED719D"/>
    <w:rsid w:val="00EE016D"/>
    <w:rsid w:val="00EE0CD0"/>
    <w:rsid w:val="00EE168B"/>
    <w:rsid w:val="00EE16ED"/>
    <w:rsid w:val="00EE1EB0"/>
    <w:rsid w:val="00EE3139"/>
    <w:rsid w:val="00EE31FD"/>
    <w:rsid w:val="00EE4360"/>
    <w:rsid w:val="00EE45F8"/>
    <w:rsid w:val="00EE4635"/>
    <w:rsid w:val="00EE4DE8"/>
    <w:rsid w:val="00EE62DD"/>
    <w:rsid w:val="00EE77EB"/>
    <w:rsid w:val="00EF0040"/>
    <w:rsid w:val="00EF19BD"/>
    <w:rsid w:val="00EF42CB"/>
    <w:rsid w:val="00EF5117"/>
    <w:rsid w:val="00EF5E0D"/>
    <w:rsid w:val="00EF5EBB"/>
    <w:rsid w:val="00EF755E"/>
    <w:rsid w:val="00F0000B"/>
    <w:rsid w:val="00F0074A"/>
    <w:rsid w:val="00F022B2"/>
    <w:rsid w:val="00F02594"/>
    <w:rsid w:val="00F078AF"/>
    <w:rsid w:val="00F10120"/>
    <w:rsid w:val="00F11296"/>
    <w:rsid w:val="00F124E8"/>
    <w:rsid w:val="00F13E49"/>
    <w:rsid w:val="00F14108"/>
    <w:rsid w:val="00F16C0B"/>
    <w:rsid w:val="00F1710C"/>
    <w:rsid w:val="00F205CB"/>
    <w:rsid w:val="00F241E5"/>
    <w:rsid w:val="00F24EB4"/>
    <w:rsid w:val="00F25967"/>
    <w:rsid w:val="00F26391"/>
    <w:rsid w:val="00F32B8F"/>
    <w:rsid w:val="00F34BA8"/>
    <w:rsid w:val="00F35659"/>
    <w:rsid w:val="00F406FA"/>
    <w:rsid w:val="00F40750"/>
    <w:rsid w:val="00F42939"/>
    <w:rsid w:val="00F47443"/>
    <w:rsid w:val="00F519EF"/>
    <w:rsid w:val="00F5216A"/>
    <w:rsid w:val="00F5276B"/>
    <w:rsid w:val="00F531EE"/>
    <w:rsid w:val="00F53377"/>
    <w:rsid w:val="00F5534E"/>
    <w:rsid w:val="00F55FDB"/>
    <w:rsid w:val="00F569B6"/>
    <w:rsid w:val="00F60894"/>
    <w:rsid w:val="00F61512"/>
    <w:rsid w:val="00F622C8"/>
    <w:rsid w:val="00F62610"/>
    <w:rsid w:val="00F63340"/>
    <w:rsid w:val="00F63460"/>
    <w:rsid w:val="00F653ED"/>
    <w:rsid w:val="00F662B3"/>
    <w:rsid w:val="00F721AD"/>
    <w:rsid w:val="00F76DD1"/>
    <w:rsid w:val="00F828E7"/>
    <w:rsid w:val="00F83A85"/>
    <w:rsid w:val="00F83E23"/>
    <w:rsid w:val="00F83FB5"/>
    <w:rsid w:val="00F85E66"/>
    <w:rsid w:val="00F87E0F"/>
    <w:rsid w:val="00F92D28"/>
    <w:rsid w:val="00F94D74"/>
    <w:rsid w:val="00F951E7"/>
    <w:rsid w:val="00F955EE"/>
    <w:rsid w:val="00F95FF2"/>
    <w:rsid w:val="00F97B23"/>
    <w:rsid w:val="00FA0B0E"/>
    <w:rsid w:val="00FA2EAC"/>
    <w:rsid w:val="00FA326D"/>
    <w:rsid w:val="00FA3501"/>
    <w:rsid w:val="00FA3D21"/>
    <w:rsid w:val="00FB16EA"/>
    <w:rsid w:val="00FB4CF0"/>
    <w:rsid w:val="00FB5CB3"/>
    <w:rsid w:val="00FB75A8"/>
    <w:rsid w:val="00FB7E54"/>
    <w:rsid w:val="00FC346D"/>
    <w:rsid w:val="00FC487D"/>
    <w:rsid w:val="00FC64E5"/>
    <w:rsid w:val="00FC69AE"/>
    <w:rsid w:val="00FC6ECC"/>
    <w:rsid w:val="00FC7614"/>
    <w:rsid w:val="00FC7D0E"/>
    <w:rsid w:val="00FD01AF"/>
    <w:rsid w:val="00FD0B53"/>
    <w:rsid w:val="00FD2A3C"/>
    <w:rsid w:val="00FD3267"/>
    <w:rsid w:val="00FD4F2C"/>
    <w:rsid w:val="00FD5713"/>
    <w:rsid w:val="00FD6916"/>
    <w:rsid w:val="00FD7C03"/>
    <w:rsid w:val="00FE0425"/>
    <w:rsid w:val="00FE2E00"/>
    <w:rsid w:val="00FE2F0F"/>
    <w:rsid w:val="00FE3131"/>
    <w:rsid w:val="00FE4D0B"/>
    <w:rsid w:val="00FE7CAD"/>
    <w:rsid w:val="00FF057C"/>
    <w:rsid w:val="00FF1989"/>
    <w:rsid w:val="00FF2138"/>
    <w:rsid w:val="00FF276C"/>
    <w:rsid w:val="00FF352E"/>
    <w:rsid w:val="00FF4308"/>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74"/>
    <w:pPr>
      <w:widowControl w:val="0"/>
      <w:adjustRightInd w:val="0"/>
      <w:jc w:val="both"/>
      <w:textAlignment w:val="baseline"/>
    </w:pPr>
    <w:rPr>
      <w:rFonts w:ascii="Verdana" w:eastAsia="Times New Roman" w:hAnsi="Verdana" w:cs="Times New Roman"/>
      <w:sz w:val="20"/>
      <w:szCs w:val="20"/>
      <w:lang w:val="es-CR" w:eastAsia="es-CR"/>
    </w:rPr>
  </w:style>
  <w:style w:type="paragraph" w:styleId="Ttulo1">
    <w:name w:val="heading 1"/>
    <w:basedOn w:val="Normal"/>
    <w:next w:val="Normal"/>
    <w:link w:val="Ttulo1Car"/>
    <w:uiPriority w:val="9"/>
    <w:qFormat/>
    <w:rsid w:val="0010568E"/>
    <w:pPr>
      <w:keepNext/>
      <w:keepLines/>
      <w:tabs>
        <w:tab w:val="left" w:pos="851"/>
      </w:tabs>
      <w:spacing w:before="240" w:after="240"/>
      <w:jc w:val="center"/>
      <w:outlineLvl w:val="0"/>
    </w:pPr>
    <w:rPr>
      <w:rFonts w:cs="Verdana"/>
      <w:b/>
      <w:bCs/>
      <w:caps/>
      <w:snapToGrid w:val="0"/>
    </w:rPr>
  </w:style>
  <w:style w:type="paragraph" w:styleId="Ttulo2">
    <w:name w:val="heading 2"/>
    <w:basedOn w:val="Normal"/>
    <w:next w:val="Normal"/>
    <w:link w:val="Ttulo2Car"/>
    <w:uiPriority w:val="9"/>
    <w:unhideWhenUsed/>
    <w:qFormat/>
    <w:rsid w:val="00467516"/>
    <w:pPr>
      <w:keepNext/>
      <w:keepLines/>
      <w:tabs>
        <w:tab w:val="left" w:pos="1134"/>
      </w:tabs>
      <w:spacing w:before="240" w:after="240"/>
      <w:ind w:left="562"/>
      <w:outlineLvl w:val="1"/>
    </w:pPr>
    <w:rPr>
      <w:rFonts w:eastAsia="MS Mincho"/>
      <w:b/>
      <w:bCs/>
      <w:i/>
    </w:rPr>
  </w:style>
  <w:style w:type="paragraph" w:styleId="Ttulo3">
    <w:name w:val="heading 3"/>
    <w:basedOn w:val="Ttulo2"/>
    <w:next w:val="Normal"/>
    <w:link w:val="Ttulo3Car"/>
    <w:uiPriority w:val="9"/>
    <w:unhideWhenUsed/>
    <w:qFormat/>
    <w:rsid w:val="00F94D74"/>
    <w:pPr>
      <w:ind w:left="1170"/>
      <w:outlineLvl w:val="2"/>
    </w:pPr>
    <w:rPr>
      <w:rFonts w:eastAsia="Verdana" w:cs="Verdana"/>
      <w:b w:val="0"/>
    </w:rPr>
  </w:style>
  <w:style w:type="paragraph" w:styleId="Ttulo4">
    <w:name w:val="heading 4"/>
    <w:basedOn w:val="Normal"/>
    <w:next w:val="Normal"/>
    <w:link w:val="Ttulo4Car"/>
    <w:uiPriority w:val="9"/>
    <w:unhideWhenUsed/>
    <w:qFormat/>
    <w:rsid w:val="001B6BB6"/>
    <w:pPr>
      <w:spacing w:before="240" w:after="240"/>
      <w:outlineLvl w:val="3"/>
    </w:pPr>
    <w:rPr>
      <w:rFonts w:eastAsiaTheme="minorHAnsi"/>
      <w:i/>
      <w:lang w:eastAsia="en-US"/>
    </w:rPr>
  </w:style>
  <w:style w:type="paragraph" w:styleId="Ttulo5">
    <w:name w:val="heading 5"/>
    <w:basedOn w:val="Normal"/>
    <w:next w:val="Normal"/>
    <w:link w:val="Ttulo5Car"/>
    <w:uiPriority w:val="9"/>
    <w:semiHidden/>
    <w:unhideWhenUsed/>
    <w:qFormat/>
    <w:rsid w:val="00467516"/>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Ttulo5"/>
    <w:next w:val="Normal"/>
    <w:link w:val="Ttulo6Car"/>
    <w:uiPriority w:val="9"/>
    <w:unhideWhenUsed/>
    <w:qFormat/>
    <w:rsid w:val="00467516"/>
    <w:pPr>
      <w:keepNext w:val="0"/>
      <w:keepLines w:val="0"/>
      <w:widowControl/>
      <w:tabs>
        <w:tab w:val="num" w:pos="3600"/>
      </w:tabs>
      <w:adjustRightInd/>
      <w:spacing w:before="0"/>
      <w:ind w:left="3600" w:hanging="360"/>
      <w:textAlignment w:val="auto"/>
      <w:outlineLvl w:val="5"/>
    </w:pPr>
    <w:rPr>
      <w:rFonts w:ascii="Verdana" w:eastAsia="Times New Roman" w:hAnsi="Verdana" w:cs="Times New Roman"/>
      <w:color w:val="auto"/>
      <w:spacing w:val="-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568E"/>
    <w:rPr>
      <w:rFonts w:ascii="Verdana" w:eastAsia="Times New Roman" w:hAnsi="Verdana" w:cs="Verdana"/>
      <w:b/>
      <w:bCs/>
      <w:caps/>
      <w:snapToGrid w:val="0"/>
      <w:sz w:val="20"/>
      <w:szCs w:val="20"/>
      <w:lang w:val="es-CR" w:eastAsia="es-CR"/>
    </w:rPr>
  </w:style>
  <w:style w:type="character" w:customStyle="1" w:styleId="Ttulo2Car">
    <w:name w:val="Título 2 Car"/>
    <w:basedOn w:val="Fuentedeprrafopredeter"/>
    <w:link w:val="Ttulo2"/>
    <w:uiPriority w:val="9"/>
    <w:rsid w:val="00467516"/>
    <w:rPr>
      <w:rFonts w:ascii="Verdana" w:eastAsia="MS Mincho" w:hAnsi="Verdana" w:cs="Times New Roman"/>
      <w:b/>
      <w:bCs/>
      <w:i/>
      <w:sz w:val="20"/>
      <w:szCs w:val="20"/>
      <w:lang w:val="es-CR" w:eastAsia="es-CR"/>
    </w:rPr>
  </w:style>
  <w:style w:type="character" w:customStyle="1" w:styleId="Ttulo3Car">
    <w:name w:val="Título 3 Car"/>
    <w:basedOn w:val="Fuentedeprrafopredeter"/>
    <w:link w:val="Ttulo3"/>
    <w:uiPriority w:val="9"/>
    <w:rsid w:val="00F94D74"/>
    <w:rPr>
      <w:rFonts w:ascii="Verdana" w:eastAsia="Verdana" w:hAnsi="Verdana" w:cs="Verdana"/>
      <w:bCs/>
      <w:i/>
      <w:sz w:val="20"/>
      <w:szCs w:val="20"/>
      <w:lang w:val="es-CR" w:eastAsia="es-CR"/>
    </w:rPr>
  </w:style>
  <w:style w:type="character" w:customStyle="1" w:styleId="Ttulo4Car">
    <w:name w:val="Título 4 Car"/>
    <w:basedOn w:val="Fuentedeprrafopredeter"/>
    <w:link w:val="Ttulo4"/>
    <w:uiPriority w:val="9"/>
    <w:rsid w:val="001B6BB6"/>
    <w:rPr>
      <w:rFonts w:ascii="Verdana" w:hAnsi="Verdana" w:cs="Times New Roman"/>
      <w:i/>
      <w:sz w:val="20"/>
      <w:szCs w:val="20"/>
      <w:lang w:val="es-CR"/>
    </w:rPr>
  </w:style>
  <w:style w:type="character" w:customStyle="1" w:styleId="Ttulo5Car">
    <w:name w:val="Título 5 Car"/>
    <w:basedOn w:val="Fuentedeprrafopredeter"/>
    <w:link w:val="Ttulo5"/>
    <w:uiPriority w:val="9"/>
    <w:semiHidden/>
    <w:rsid w:val="00467516"/>
    <w:rPr>
      <w:rFonts w:asciiTheme="majorHAnsi" w:eastAsiaTheme="majorEastAsia" w:hAnsiTheme="majorHAnsi" w:cstheme="majorBidi"/>
      <w:color w:val="1F4D78" w:themeColor="accent1" w:themeShade="7F"/>
      <w:sz w:val="24"/>
      <w:szCs w:val="24"/>
      <w:lang w:val="es-CR" w:eastAsia="es-CR"/>
    </w:rPr>
  </w:style>
  <w:style w:type="character" w:customStyle="1" w:styleId="Ttulo6Car">
    <w:name w:val="Título 6 Car"/>
    <w:basedOn w:val="Fuentedeprrafopredeter"/>
    <w:link w:val="Ttulo6"/>
    <w:uiPriority w:val="9"/>
    <w:rsid w:val="00467516"/>
    <w:rPr>
      <w:rFonts w:ascii="Verdana" w:eastAsia="Times New Roman" w:hAnsi="Verdana" w:cs="Times New Roman"/>
      <w:spacing w:val="-2"/>
      <w:sz w:val="20"/>
      <w:szCs w:val="20"/>
      <w:lang w:val="es-ES_tradnl" w:eastAsia="es-CR"/>
    </w:rPr>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Ref. de nota al,Ref. de nota al pi"/>
    <w:link w:val="4GChar"/>
    <w:uiPriority w:val="99"/>
    <w:qFormat/>
    <w:rsid w:val="00467516"/>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qFormat/>
    <w:rsid w:val="00467516"/>
    <w:rPr>
      <w:lang w:val="es-ES_tradnl"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qFormat/>
    <w:rsid w:val="00467516"/>
    <w:rPr>
      <w:rFonts w:ascii="Verdana" w:eastAsia="Times New Roman" w:hAnsi="Verdana" w:cs="Times New Roman"/>
      <w:sz w:val="20"/>
      <w:szCs w:val="20"/>
      <w:lang w:val="es-ES_tradnl" w:eastAsia="x-non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67516"/>
    <w:pPr>
      <w:widowControl/>
      <w:adjustRightInd/>
      <w:textAlignment w:val="auto"/>
    </w:pPr>
    <w:rPr>
      <w:rFonts w:asciiTheme="minorHAnsi" w:eastAsiaTheme="minorHAnsi" w:hAnsiTheme="minorHAnsi" w:cstheme="minorBidi"/>
      <w:sz w:val="22"/>
      <w:szCs w:val="22"/>
      <w:vertAlign w:val="superscript"/>
      <w:lang w:val="en-US" w:eastAsia="en-US"/>
    </w:rPr>
  </w:style>
  <w:style w:type="character" w:styleId="Nmerodelnea">
    <w:name w:val="line number"/>
    <w:basedOn w:val="Fuentedeprrafopredeter"/>
    <w:uiPriority w:val="99"/>
    <w:semiHidden/>
    <w:unhideWhenUsed/>
    <w:rsid w:val="00467516"/>
  </w:style>
  <w:style w:type="paragraph" w:styleId="Encabezado">
    <w:name w:val="header"/>
    <w:basedOn w:val="Normal"/>
    <w:link w:val="EncabezadoCar"/>
    <w:uiPriority w:val="99"/>
    <w:unhideWhenUsed/>
    <w:rsid w:val="00467516"/>
    <w:pPr>
      <w:tabs>
        <w:tab w:val="center" w:pos="4419"/>
        <w:tab w:val="right" w:pos="8838"/>
      </w:tabs>
    </w:pPr>
  </w:style>
  <w:style w:type="character" w:customStyle="1" w:styleId="EncabezadoCar">
    <w:name w:val="Encabezado Car"/>
    <w:basedOn w:val="Fuentedeprrafopredeter"/>
    <w:link w:val="Encabezado"/>
    <w:uiPriority w:val="99"/>
    <w:rsid w:val="00467516"/>
    <w:rPr>
      <w:rFonts w:ascii="Verdana" w:eastAsia="Times New Roman" w:hAnsi="Verdana" w:cs="Times New Roman"/>
      <w:sz w:val="24"/>
      <w:szCs w:val="24"/>
      <w:lang w:val="es-CR" w:eastAsia="es-CR"/>
    </w:rPr>
  </w:style>
  <w:style w:type="paragraph" w:styleId="Piedepgina">
    <w:name w:val="footer"/>
    <w:basedOn w:val="Normal"/>
    <w:link w:val="PiedepginaCar"/>
    <w:uiPriority w:val="99"/>
    <w:unhideWhenUsed/>
    <w:rsid w:val="00467516"/>
    <w:pPr>
      <w:tabs>
        <w:tab w:val="center" w:pos="4419"/>
        <w:tab w:val="right" w:pos="8838"/>
      </w:tabs>
    </w:pPr>
  </w:style>
  <w:style w:type="character" w:customStyle="1" w:styleId="PiedepginaCar">
    <w:name w:val="Pie de página Car"/>
    <w:basedOn w:val="Fuentedeprrafopredeter"/>
    <w:link w:val="Piedepgina"/>
    <w:uiPriority w:val="99"/>
    <w:rsid w:val="00467516"/>
    <w:rPr>
      <w:rFonts w:ascii="Verdana" w:eastAsia="Times New Roman" w:hAnsi="Verdana" w:cs="Times New Roman"/>
      <w:sz w:val="24"/>
      <w:szCs w:val="24"/>
      <w:lang w:val="es-CR" w:eastAsia="es-CR"/>
    </w:rPr>
  </w:style>
  <w:style w:type="paragraph" w:styleId="Prrafodelista">
    <w:name w:val="List Paragraph"/>
    <w:aliases w:val="List Paragraph2,Lista vistosa - Énfasis 11,Párrafo de lista1,Footnote,List Paragraph1,Colorful List - Accent 11,Parrafos,Subtle Emphasis1,Footnote1,List Paragraph11"/>
    <w:basedOn w:val="Normal"/>
    <w:link w:val="PrrafodelistaCar"/>
    <w:uiPriority w:val="99"/>
    <w:qFormat/>
    <w:rsid w:val="00467516"/>
    <w:pPr>
      <w:ind w:left="708"/>
    </w:pPr>
  </w:style>
  <w:style w:type="character" w:customStyle="1" w:styleId="PrrafodelistaCar">
    <w:name w:val="Párrafo de lista Car"/>
    <w:aliases w:val="List Paragraph2 Car,Lista vistosa - Énfasis 11 Car,Párrafo de lista1 Car,Footnote Car,List Paragraph1 Car,Colorful List - Accent 11 Car,Parrafos Car,Subtle Emphasis1 Car,Footnote1 Car,List Paragraph11 Car"/>
    <w:basedOn w:val="Fuentedeprrafopredeter"/>
    <w:link w:val="Prrafodelista"/>
    <w:uiPriority w:val="99"/>
    <w:rsid w:val="00467516"/>
    <w:rPr>
      <w:rFonts w:ascii="Verdana" w:eastAsia="Times New Roman" w:hAnsi="Verdana" w:cs="Times New Roman"/>
      <w:sz w:val="24"/>
      <w:szCs w:val="24"/>
      <w:lang w:val="es-CR" w:eastAsia="es-CR"/>
    </w:rPr>
  </w:style>
  <w:style w:type="character" w:styleId="Textoennegrita">
    <w:name w:val="Strong"/>
    <w:aliases w:val="Heading 2.1"/>
    <w:basedOn w:val="Fuentedeprrafopredeter"/>
    <w:uiPriority w:val="22"/>
    <w:qFormat/>
    <w:rsid w:val="00467516"/>
    <w:rPr>
      <w:b/>
      <w:bCs/>
    </w:rPr>
  </w:style>
  <w:style w:type="paragraph" w:styleId="NormalWeb">
    <w:name w:val="Normal (Web)"/>
    <w:aliases w:val="Normal (Web) Char1,Normal (Web) Char Char,Normal (Web) Char1 Char,Normal (Web) Char Char Char"/>
    <w:basedOn w:val="Normal"/>
    <w:uiPriority w:val="99"/>
    <w:unhideWhenUsed/>
    <w:rsid w:val="00467516"/>
    <w:rPr>
      <w:rFonts w:ascii="Times New Roman" w:hAnsi="Times New Roman"/>
    </w:rPr>
  </w:style>
  <w:style w:type="character" w:customStyle="1" w:styleId="apple-converted-space">
    <w:name w:val="apple-converted-space"/>
    <w:basedOn w:val="Fuentedeprrafopredeter"/>
    <w:rsid w:val="00467516"/>
  </w:style>
  <w:style w:type="character" w:styleId="Hipervnculo">
    <w:name w:val="Hyperlink"/>
    <w:basedOn w:val="Fuentedeprrafopredeter"/>
    <w:uiPriority w:val="99"/>
    <w:unhideWhenUsed/>
    <w:rsid w:val="00467516"/>
    <w:rPr>
      <w:color w:val="0563C1" w:themeColor="hyperlink"/>
      <w:u w:val="single"/>
    </w:rPr>
  </w:style>
  <w:style w:type="paragraph" w:styleId="TtulodeTDC">
    <w:name w:val="TOC Heading"/>
    <w:basedOn w:val="Ttulo1"/>
    <w:next w:val="Normal"/>
    <w:uiPriority w:val="39"/>
    <w:unhideWhenUsed/>
    <w:qFormat/>
    <w:rsid w:val="00467516"/>
    <w:pPr>
      <w:widowControl/>
      <w:adjustRightInd/>
      <w:spacing w:line="276" w:lineRule="auto"/>
      <w:jc w:val="left"/>
      <w:textAlignment w:val="auto"/>
      <w:outlineLvl w:val="9"/>
    </w:pPr>
    <w:rPr>
      <w:lang w:val="en-US" w:eastAsia="ja-JP"/>
    </w:rPr>
  </w:style>
  <w:style w:type="paragraph" w:styleId="TDC1">
    <w:name w:val="toc 1"/>
    <w:basedOn w:val="Normal"/>
    <w:next w:val="Normal"/>
    <w:autoRedefine/>
    <w:uiPriority w:val="39"/>
    <w:unhideWhenUsed/>
    <w:rsid w:val="00900D77"/>
    <w:pPr>
      <w:tabs>
        <w:tab w:val="right" w:leader="dot" w:pos="10070"/>
      </w:tabs>
      <w:spacing w:before="120" w:after="120"/>
      <w:jc w:val="center"/>
    </w:pPr>
    <w:rPr>
      <w:b/>
      <w:caps/>
      <w:sz w:val="19"/>
      <w:szCs w:val="19"/>
      <w:lang w:val="es-ES"/>
    </w:rPr>
  </w:style>
  <w:style w:type="paragraph" w:styleId="TDC2">
    <w:name w:val="toc 2"/>
    <w:basedOn w:val="Normal"/>
    <w:next w:val="Normal"/>
    <w:autoRedefine/>
    <w:uiPriority w:val="39"/>
    <w:unhideWhenUsed/>
    <w:rsid w:val="00467516"/>
    <w:pPr>
      <w:tabs>
        <w:tab w:val="left" w:pos="450"/>
        <w:tab w:val="left" w:pos="630"/>
        <w:tab w:val="right" w:leader="dot" w:pos="10070"/>
      </w:tabs>
      <w:ind w:left="240"/>
    </w:pPr>
  </w:style>
  <w:style w:type="paragraph" w:styleId="Textodeglobo">
    <w:name w:val="Balloon Text"/>
    <w:basedOn w:val="Normal"/>
    <w:link w:val="TextodegloboCar"/>
    <w:uiPriority w:val="99"/>
    <w:semiHidden/>
    <w:unhideWhenUsed/>
    <w:rsid w:val="00467516"/>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516"/>
    <w:rPr>
      <w:rFonts w:ascii="Tahoma" w:eastAsia="Times New Roman" w:hAnsi="Tahoma" w:cs="Tahoma"/>
      <w:sz w:val="16"/>
      <w:szCs w:val="16"/>
      <w:lang w:val="es-CR" w:eastAsia="es-CR"/>
    </w:rPr>
  </w:style>
  <w:style w:type="table" w:styleId="Tablaconcuadrcula">
    <w:name w:val="Table Grid"/>
    <w:basedOn w:val="Tablanormal"/>
    <w:uiPriority w:val="59"/>
    <w:rsid w:val="00467516"/>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Sinlista"/>
    <w:uiPriority w:val="99"/>
    <w:semiHidden/>
    <w:unhideWhenUsed/>
    <w:rsid w:val="00467516"/>
  </w:style>
  <w:style w:type="character" w:styleId="Refdecomentario">
    <w:name w:val="annotation reference"/>
    <w:basedOn w:val="Fuentedeprrafopredeter"/>
    <w:uiPriority w:val="99"/>
    <w:semiHidden/>
    <w:unhideWhenUsed/>
    <w:rsid w:val="00467516"/>
    <w:rPr>
      <w:sz w:val="16"/>
      <w:szCs w:val="16"/>
    </w:rPr>
  </w:style>
  <w:style w:type="paragraph" w:styleId="Textocomentario">
    <w:name w:val="annotation text"/>
    <w:basedOn w:val="Normal"/>
    <w:link w:val="TextocomentarioCar"/>
    <w:uiPriority w:val="99"/>
    <w:unhideWhenUsed/>
    <w:rsid w:val="00467516"/>
    <w:pPr>
      <w:widowControl/>
      <w:adjustRightInd/>
      <w:spacing w:after="200"/>
      <w:jc w:val="left"/>
      <w:textAlignment w:val="auto"/>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rsid w:val="00467516"/>
    <w:rPr>
      <w:sz w:val="20"/>
      <w:szCs w:val="20"/>
      <w:lang w:val="es-CR"/>
    </w:rPr>
  </w:style>
  <w:style w:type="paragraph" w:styleId="Asuntodelcomentario">
    <w:name w:val="annotation subject"/>
    <w:basedOn w:val="Textocomentario"/>
    <w:next w:val="Textocomentario"/>
    <w:link w:val="AsuntodelcomentarioCar"/>
    <w:uiPriority w:val="99"/>
    <w:semiHidden/>
    <w:unhideWhenUsed/>
    <w:rsid w:val="00467516"/>
    <w:rPr>
      <w:b/>
      <w:bCs/>
    </w:rPr>
  </w:style>
  <w:style w:type="character" w:customStyle="1" w:styleId="AsuntodelcomentarioCar">
    <w:name w:val="Asunto del comentario Car"/>
    <w:basedOn w:val="TextocomentarioCar"/>
    <w:link w:val="Asuntodelcomentario"/>
    <w:uiPriority w:val="99"/>
    <w:semiHidden/>
    <w:rsid w:val="00467516"/>
    <w:rPr>
      <w:b/>
      <w:bCs/>
      <w:sz w:val="20"/>
      <w:szCs w:val="20"/>
      <w:lang w:val="es-CR"/>
    </w:rPr>
  </w:style>
  <w:style w:type="character" w:customStyle="1" w:styleId="ListParagraphChar1">
    <w:name w:val="List Paragraph Char1"/>
    <w:aliases w:val="List Paragraph2 Char1,Lista vistosa - Énfasis 11 Char1,Párrafo de lista1 Char1,Footnote Char1,List Paragraph1 Char1"/>
    <w:basedOn w:val="Fuentedeprrafopredeter"/>
    <w:uiPriority w:val="34"/>
    <w:rsid w:val="00467516"/>
    <w:rPr>
      <w:rFonts w:ascii="Verdana" w:eastAsia="Times New Roman" w:hAnsi="Verdana" w:cs="Times New Roman"/>
      <w:sz w:val="24"/>
      <w:szCs w:val="24"/>
      <w:lang w:eastAsia="es-CR"/>
    </w:rPr>
  </w:style>
  <w:style w:type="paragraph" w:customStyle="1" w:styleId="Default">
    <w:name w:val="Default"/>
    <w:uiPriority w:val="99"/>
    <w:rsid w:val="00467516"/>
    <w:pPr>
      <w:autoSpaceDE w:val="0"/>
      <w:autoSpaceDN w:val="0"/>
      <w:adjustRightInd w:val="0"/>
    </w:pPr>
    <w:rPr>
      <w:rFonts w:ascii="Verdana" w:hAnsi="Verdana" w:cs="Verdana"/>
      <w:color w:val="000000"/>
      <w:sz w:val="24"/>
      <w:szCs w:val="24"/>
      <w:lang w:val="es-CR"/>
    </w:rPr>
  </w:style>
  <w:style w:type="paragraph" w:customStyle="1" w:styleId="PrrafodeSentencia">
    <w:name w:val="*. Párrafo de Sentencia"/>
    <w:basedOn w:val="Normal"/>
    <w:link w:val="PrrafodeSentenciaChar"/>
    <w:qFormat/>
    <w:rsid w:val="00467516"/>
    <w:pPr>
      <w:widowControl/>
      <w:numPr>
        <w:numId w:val="1"/>
      </w:numPr>
      <w:tabs>
        <w:tab w:val="left" w:pos="567"/>
      </w:tabs>
      <w:adjustRightInd/>
      <w:textAlignment w:val="auto"/>
    </w:pPr>
    <w:rPr>
      <w:rFonts w:eastAsia="Batang"/>
      <w:lang w:val="es-ES_tradnl" w:eastAsia="es-MX"/>
    </w:rPr>
  </w:style>
  <w:style w:type="character" w:customStyle="1" w:styleId="PrrafodeSentenciaChar">
    <w:name w:val="*. Párrafo de Sentencia Char"/>
    <w:link w:val="PrrafodeSentencia"/>
    <w:rsid w:val="00467516"/>
    <w:rPr>
      <w:rFonts w:ascii="Verdana" w:eastAsia="Batang" w:hAnsi="Verdana" w:cs="Times New Roman"/>
      <w:sz w:val="20"/>
      <w:szCs w:val="20"/>
      <w:lang w:val="es-ES_tradnl" w:eastAsia="es-MX"/>
    </w:rPr>
  </w:style>
  <w:style w:type="character" w:customStyle="1" w:styleId="shorttext">
    <w:name w:val="shorttext"/>
    <w:basedOn w:val="Fuentedeprrafopredeter"/>
    <w:rsid w:val="00467516"/>
  </w:style>
  <w:style w:type="paragraph" w:customStyle="1" w:styleId="Estilo4">
    <w:name w:val="Estilo4"/>
    <w:basedOn w:val="Prrafodelista"/>
    <w:qFormat/>
    <w:rsid w:val="00467516"/>
    <w:pPr>
      <w:widowControl/>
      <w:numPr>
        <w:ilvl w:val="1"/>
        <w:numId w:val="2"/>
      </w:numPr>
      <w:adjustRightInd/>
      <w:spacing w:after="120"/>
      <w:ind w:left="0" w:firstLine="357"/>
      <w:textAlignment w:val="auto"/>
    </w:pPr>
    <w:rPr>
      <w:spacing w:val="-2"/>
      <w:lang w:eastAsia="en-US"/>
    </w:rPr>
  </w:style>
  <w:style w:type="paragraph" w:customStyle="1" w:styleId="Numberedparagraphs">
    <w:name w:val="Numbered paragraphs"/>
    <w:basedOn w:val="Normal"/>
    <w:qFormat/>
    <w:rsid w:val="00467516"/>
    <w:pPr>
      <w:widowControl/>
      <w:adjustRightInd/>
      <w:spacing w:after="200"/>
      <w:textAlignment w:val="auto"/>
    </w:pPr>
    <w:rPr>
      <w:rFonts w:eastAsia="MS Mincho"/>
      <w:color w:val="000000"/>
      <w:lang w:val="es-ES_tradnl" w:eastAsia="en-US"/>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Fuentedeprrafopredeter"/>
    <w:uiPriority w:val="99"/>
    <w:qFormat/>
    <w:rsid w:val="00467516"/>
    <w:rPr>
      <w:sz w:val="20"/>
      <w:szCs w:val="20"/>
    </w:rPr>
  </w:style>
  <w:style w:type="character" w:customStyle="1" w:styleId="column">
    <w:name w:val="column"/>
    <w:basedOn w:val="Fuentedeprrafopredeter"/>
    <w:rsid w:val="00467516"/>
  </w:style>
  <w:style w:type="character" w:customStyle="1" w:styleId="summarytext">
    <w:name w:val="summarytext"/>
    <w:basedOn w:val="Fuentedeprrafopredeter"/>
    <w:rsid w:val="00467516"/>
  </w:style>
  <w:style w:type="character" w:customStyle="1" w:styleId="textcolumn">
    <w:name w:val="textcolumn"/>
    <w:basedOn w:val="Fuentedeprrafopredeter"/>
    <w:rsid w:val="00467516"/>
  </w:style>
  <w:style w:type="character" w:customStyle="1" w:styleId="more">
    <w:name w:val="more"/>
    <w:basedOn w:val="Fuentedeprrafopredeter"/>
    <w:rsid w:val="00467516"/>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467516"/>
    <w:pPr>
      <w:widowControl/>
      <w:adjustRightInd/>
      <w:spacing w:after="160" w:line="240" w:lineRule="exact"/>
      <w:jc w:val="left"/>
      <w:textAlignment w:val="auto"/>
    </w:pPr>
    <w:rPr>
      <w:rFonts w:eastAsiaTheme="minorHAnsi" w:cstheme="minorBidi"/>
      <w:vertAlign w:val="superscript"/>
      <w:lang w:eastAsia="en-US"/>
    </w:rPr>
  </w:style>
  <w:style w:type="paragraph" w:styleId="Sinespaciado">
    <w:name w:val="No Spacing"/>
    <w:link w:val="SinespaciadoCar"/>
    <w:uiPriority w:val="1"/>
    <w:qFormat/>
    <w:rsid w:val="00467516"/>
    <w:rPr>
      <w:lang w:val="es-CR"/>
    </w:rPr>
  </w:style>
  <w:style w:type="character" w:customStyle="1" w:styleId="SinespaciadoCar">
    <w:name w:val="Sin espaciado Car"/>
    <w:basedOn w:val="Fuentedeprrafopredeter"/>
    <w:link w:val="Sinespaciado"/>
    <w:uiPriority w:val="1"/>
    <w:rsid w:val="00467516"/>
    <w:rPr>
      <w:lang w:val="es-CR"/>
    </w:rPr>
  </w:style>
  <w:style w:type="paragraph" w:styleId="Textoindependiente3">
    <w:name w:val="Body Text 3"/>
    <w:basedOn w:val="Normal"/>
    <w:link w:val="Textoindependiente3Car"/>
    <w:rsid w:val="00467516"/>
    <w:pPr>
      <w:widowControl/>
      <w:adjustRightInd/>
      <w:spacing w:after="120"/>
      <w:jc w:val="left"/>
      <w:textAlignment w:val="auto"/>
    </w:pPr>
    <w:rPr>
      <w:rFonts w:ascii="Times New Roman" w:hAnsi="Times New Roman"/>
      <w:sz w:val="16"/>
      <w:szCs w:val="16"/>
      <w:lang w:val="es-ES_tradnl" w:eastAsia="es-ES"/>
    </w:rPr>
  </w:style>
  <w:style w:type="character" w:customStyle="1" w:styleId="Textoindependiente3Car">
    <w:name w:val="Texto independiente 3 Car"/>
    <w:basedOn w:val="Fuentedeprrafopredeter"/>
    <w:link w:val="Textoindependiente3"/>
    <w:rsid w:val="00467516"/>
    <w:rPr>
      <w:rFonts w:ascii="Times New Roman" w:eastAsia="Times New Roman" w:hAnsi="Times New Roman" w:cs="Times New Roman"/>
      <w:sz w:val="16"/>
      <w:szCs w:val="16"/>
      <w:lang w:val="es-ES_tradnl" w:eastAsia="es-ES"/>
    </w:rPr>
  </w:style>
  <w:style w:type="paragraph" w:styleId="Sangra2detindependiente">
    <w:name w:val="Body Text Indent 2"/>
    <w:basedOn w:val="Normal"/>
    <w:link w:val="Sangra2detindependienteCar"/>
    <w:uiPriority w:val="99"/>
    <w:semiHidden/>
    <w:unhideWhenUsed/>
    <w:rsid w:val="00467516"/>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467516"/>
    <w:rPr>
      <w:rFonts w:ascii="Verdana" w:eastAsia="Times New Roman" w:hAnsi="Verdana" w:cs="Times New Roman"/>
      <w:sz w:val="24"/>
      <w:szCs w:val="24"/>
      <w:lang w:val="es-CR" w:eastAsia="es-CR"/>
    </w:rPr>
  </w:style>
  <w:style w:type="paragraph" w:customStyle="1" w:styleId="Normal1">
    <w:name w:val="Normal1"/>
    <w:rsid w:val="00467516"/>
    <w:pPr>
      <w:widowControl w:val="0"/>
    </w:pPr>
    <w:rPr>
      <w:rFonts w:ascii="Times New Roman" w:eastAsia="Times New Roman" w:hAnsi="Times New Roman" w:cs="Times New Roman"/>
      <w:sz w:val="24"/>
      <w:szCs w:val="24"/>
      <w:lang w:val="es-CR"/>
    </w:rPr>
  </w:style>
  <w:style w:type="paragraph" w:styleId="Textodebloque">
    <w:name w:val="Block Text"/>
    <w:basedOn w:val="Normal"/>
    <w:rsid w:val="00467516"/>
    <w:pPr>
      <w:widowControl/>
      <w:tabs>
        <w:tab w:val="left" w:pos="720"/>
      </w:tabs>
      <w:adjustRightInd/>
      <w:ind w:left="720" w:right="720"/>
      <w:textAlignment w:val="auto"/>
    </w:pPr>
    <w:rPr>
      <w:rFonts w:ascii="Garamond" w:hAnsi="Garamond"/>
      <w:sz w:val="22"/>
      <w:lang w:val="en-GB" w:eastAsia="en-US"/>
    </w:rPr>
  </w:style>
  <w:style w:type="table" w:customStyle="1" w:styleId="GridTable5Dark-Accent11">
    <w:name w:val="Grid Table 5 Dark - Accent 11"/>
    <w:basedOn w:val="Tablanormal"/>
    <w:uiPriority w:val="50"/>
    <w:rsid w:val="004675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Mencinsinresolver1">
    <w:name w:val="Mención sin resolver1"/>
    <w:basedOn w:val="Fuentedeprrafopredeter"/>
    <w:uiPriority w:val="99"/>
    <w:semiHidden/>
    <w:unhideWhenUsed/>
    <w:rsid w:val="00467516"/>
    <w:rPr>
      <w:color w:val="605E5C"/>
      <w:shd w:val="clear" w:color="auto" w:fill="E1DFDD"/>
    </w:rPr>
  </w:style>
  <w:style w:type="character" w:customStyle="1" w:styleId="highlight">
    <w:name w:val="highlight"/>
    <w:basedOn w:val="Fuentedeprrafopredeter"/>
    <w:rsid w:val="00467516"/>
  </w:style>
  <w:style w:type="paragraph" w:customStyle="1" w:styleId="Prrafodelista2">
    <w:name w:val="Párrafo de lista2"/>
    <w:basedOn w:val="Normal"/>
    <w:uiPriority w:val="99"/>
    <w:rsid w:val="00467516"/>
    <w:pPr>
      <w:widowControl/>
      <w:adjustRightInd/>
      <w:ind w:left="720"/>
      <w:jc w:val="left"/>
      <w:textAlignment w:val="auto"/>
    </w:pPr>
    <w:rPr>
      <w:rFonts w:eastAsia="MS Mincho"/>
      <w:lang w:val="es-ES_tradnl" w:eastAsia="en-US"/>
    </w:rPr>
  </w:style>
  <w:style w:type="paragraph" w:styleId="TDC3">
    <w:name w:val="toc 3"/>
    <w:basedOn w:val="Normal"/>
    <w:next w:val="Normal"/>
    <w:autoRedefine/>
    <w:uiPriority w:val="39"/>
    <w:unhideWhenUsed/>
    <w:rsid w:val="00467516"/>
    <w:pPr>
      <w:tabs>
        <w:tab w:val="left" w:pos="1080"/>
        <w:tab w:val="left" w:pos="1260"/>
        <w:tab w:val="left" w:pos="1440"/>
        <w:tab w:val="left" w:pos="1530"/>
        <w:tab w:val="right" w:leader="dot" w:pos="10070"/>
      </w:tabs>
      <w:ind w:left="1080" w:hanging="270"/>
    </w:pPr>
  </w:style>
  <w:style w:type="paragraph" w:customStyle="1" w:styleId="Estilo1">
    <w:name w:val="Estilo1"/>
    <w:basedOn w:val="Normal"/>
    <w:link w:val="Estilo1Car"/>
    <w:qFormat/>
    <w:rsid w:val="00467516"/>
    <w:pPr>
      <w:widowControl/>
      <w:adjustRightInd/>
      <w:spacing w:after="120"/>
      <w:ind w:left="2018" w:right="6" w:hanging="180"/>
      <w:textAlignment w:val="auto"/>
    </w:pPr>
    <w:rPr>
      <w:rFonts w:eastAsia="Batang" w:cs="Times"/>
      <w:i/>
      <w:lang w:val="es-ES_tradnl" w:eastAsia="en-US"/>
    </w:rPr>
  </w:style>
  <w:style w:type="character" w:customStyle="1" w:styleId="Estilo1Car">
    <w:name w:val="Estilo1 Car"/>
    <w:basedOn w:val="Fuentedeprrafopredeter"/>
    <w:link w:val="Estilo1"/>
    <w:rsid w:val="00467516"/>
    <w:rPr>
      <w:rFonts w:ascii="Verdana" w:eastAsia="Batang" w:hAnsi="Verdana" w:cs="Times"/>
      <w:i/>
      <w:sz w:val="20"/>
      <w:szCs w:val="24"/>
      <w:lang w:val="es-ES_tradnl"/>
    </w:rPr>
  </w:style>
  <w:style w:type="numbering" w:customStyle="1" w:styleId="ImportedStyle1">
    <w:name w:val="Imported Style 1"/>
    <w:rsid w:val="00467516"/>
    <w:pPr>
      <w:numPr>
        <w:numId w:val="3"/>
      </w:numPr>
    </w:pPr>
  </w:style>
  <w:style w:type="character" w:customStyle="1" w:styleId="fontstyle01">
    <w:name w:val="fontstyle01"/>
    <w:basedOn w:val="Fuentedeprrafopredeter"/>
    <w:rsid w:val="00467516"/>
    <w:rPr>
      <w:rFonts w:ascii="Arial" w:hAnsi="Arial" w:cs="Arial" w:hint="default"/>
      <w:b w:val="0"/>
      <w:bCs w:val="0"/>
      <w:i w:val="0"/>
      <w:iCs w:val="0"/>
      <w:color w:val="000000"/>
      <w:sz w:val="24"/>
      <w:szCs w:val="24"/>
    </w:rPr>
  </w:style>
  <w:style w:type="paragraph" w:styleId="Textoindependiente2">
    <w:name w:val="Body Text 2"/>
    <w:basedOn w:val="Normal"/>
    <w:link w:val="Textoindependiente2Car"/>
    <w:uiPriority w:val="99"/>
    <w:unhideWhenUsed/>
    <w:rsid w:val="00F83A85"/>
    <w:pPr>
      <w:spacing w:after="120" w:line="480" w:lineRule="auto"/>
    </w:pPr>
  </w:style>
  <w:style w:type="character" w:customStyle="1" w:styleId="Textoindependiente2Car">
    <w:name w:val="Texto independiente 2 Car"/>
    <w:basedOn w:val="Fuentedeprrafopredeter"/>
    <w:link w:val="Textoindependiente2"/>
    <w:uiPriority w:val="99"/>
    <w:rsid w:val="00F83A85"/>
    <w:rPr>
      <w:rFonts w:ascii="Verdana" w:eastAsia="Times New Roman" w:hAnsi="Verdana" w:cs="Times New Roman"/>
      <w:sz w:val="24"/>
      <w:szCs w:val="24"/>
      <w:lang w:val="es-CR" w:eastAsia="es-CR"/>
    </w:rPr>
  </w:style>
  <w:style w:type="paragraph" w:customStyle="1" w:styleId="Textoindependiente20">
    <w:name w:val="Texto independiente2"/>
    <w:basedOn w:val="Normal"/>
    <w:rsid w:val="00F519EF"/>
    <w:pPr>
      <w:adjustRightInd/>
      <w:textAlignment w:val="auto"/>
    </w:pPr>
    <w:rPr>
      <w:rFonts w:ascii="Times" w:hAnsi="Times"/>
      <w:lang w:val="es-ES"/>
    </w:rPr>
  </w:style>
  <w:style w:type="paragraph" w:styleId="Textoindependiente">
    <w:name w:val="Body Text"/>
    <w:basedOn w:val="Normal"/>
    <w:link w:val="TextoindependienteCar"/>
    <w:uiPriority w:val="99"/>
    <w:semiHidden/>
    <w:unhideWhenUsed/>
    <w:rsid w:val="00EE16ED"/>
    <w:pPr>
      <w:spacing w:after="120"/>
    </w:pPr>
  </w:style>
  <w:style w:type="character" w:customStyle="1" w:styleId="TextoindependienteCar">
    <w:name w:val="Texto independiente Car"/>
    <w:basedOn w:val="Fuentedeprrafopredeter"/>
    <w:link w:val="Textoindependiente"/>
    <w:uiPriority w:val="99"/>
    <w:semiHidden/>
    <w:rsid w:val="00EE16ED"/>
    <w:rPr>
      <w:rFonts w:ascii="Verdana" w:eastAsia="Times New Roman" w:hAnsi="Verdana" w:cs="Times New Roman"/>
      <w:sz w:val="24"/>
      <w:szCs w:val="24"/>
      <w:lang w:val="es-CR" w:eastAsia="es-CR"/>
    </w:rPr>
  </w:style>
  <w:style w:type="character" w:customStyle="1" w:styleId="fontstyle21">
    <w:name w:val="fontstyle21"/>
    <w:basedOn w:val="Fuentedeprrafopredeter"/>
    <w:rsid w:val="005B0504"/>
    <w:rPr>
      <w:rFonts w:ascii="Helvetica-Oblique" w:hAnsi="Helvetica-Oblique" w:hint="default"/>
      <w:b w:val="0"/>
      <w:bCs w:val="0"/>
      <w:i/>
      <w:iCs/>
      <w:color w:val="2B2B2B"/>
      <w:sz w:val="16"/>
      <w:szCs w:val="16"/>
    </w:rPr>
  </w:style>
  <w:style w:type="paragraph" w:customStyle="1" w:styleId="1">
    <w:name w:val="1"/>
    <w:basedOn w:val="Normal"/>
    <w:rsid w:val="003248AE"/>
    <w:pPr>
      <w:widowControl/>
      <w:adjustRightInd/>
      <w:spacing w:after="160" w:line="240" w:lineRule="exact"/>
      <w:jc w:val="left"/>
      <w:textAlignment w:val="auto"/>
    </w:pPr>
    <w:rPr>
      <w:sz w:val="16"/>
      <w:szCs w:val="22"/>
      <w:vertAlign w:val="superscript"/>
      <w:lang w:eastAsia="en-US"/>
    </w:rPr>
  </w:style>
  <w:style w:type="paragraph" w:customStyle="1" w:styleId="Heading71">
    <w:name w:val="Heading 71"/>
    <w:basedOn w:val="Normal"/>
    <w:rsid w:val="00075A44"/>
    <w:pPr>
      <w:numPr>
        <w:numId w:val="7"/>
      </w:numPr>
    </w:pPr>
    <w:rPr>
      <w:sz w:val="24"/>
      <w:szCs w:val="24"/>
    </w:rPr>
  </w:style>
  <w:style w:type="character" w:customStyle="1" w:styleId="apple-style-span">
    <w:name w:val="apple-style-span"/>
    <w:basedOn w:val="Fuentedeprrafopredeter"/>
    <w:rsid w:val="00E45960"/>
  </w:style>
  <w:style w:type="character" w:styleId="Hipervnculovisitado">
    <w:name w:val="FollowedHyperlink"/>
    <w:basedOn w:val="Fuentedeprrafopredeter"/>
    <w:uiPriority w:val="99"/>
    <w:semiHidden/>
    <w:unhideWhenUsed/>
    <w:rsid w:val="008372D9"/>
    <w:rPr>
      <w:color w:val="954F72" w:themeColor="followedHyperlink"/>
      <w:u w:val="single"/>
    </w:rPr>
  </w:style>
  <w:style w:type="paragraph" w:customStyle="1" w:styleId="Footnotes">
    <w:name w:val="**. Footnotes"/>
    <w:basedOn w:val="Textonotapie"/>
    <w:link w:val="FootnotesChar"/>
    <w:autoRedefine/>
    <w:qFormat/>
    <w:rsid w:val="000136C2"/>
    <w:pPr>
      <w:widowControl/>
      <w:adjustRightInd/>
      <w:spacing w:before="120" w:after="120"/>
      <w:jc w:val="center"/>
      <w:textAlignment w:val="auto"/>
    </w:pPr>
    <w:rPr>
      <w:iCs/>
      <w:sz w:val="16"/>
      <w:szCs w:val="18"/>
      <w:lang w:val="es-ES"/>
    </w:rPr>
  </w:style>
  <w:style w:type="character" w:customStyle="1" w:styleId="FootnotesChar">
    <w:name w:val="**. Footnotes Char"/>
    <w:link w:val="Footnotes"/>
    <w:rsid w:val="000136C2"/>
    <w:rPr>
      <w:rFonts w:ascii="Verdana" w:eastAsia="Times New Roman" w:hAnsi="Verdana" w:cs="Times New Roman"/>
      <w:iCs/>
      <w:sz w:val="16"/>
      <w:szCs w:val="18"/>
      <w:lang w:val="es-ES" w:eastAsia="x-none"/>
    </w:rPr>
  </w:style>
  <w:style w:type="paragraph" w:customStyle="1" w:styleId="Estilo2">
    <w:name w:val="Estilo2"/>
    <w:basedOn w:val="Normal"/>
    <w:qFormat/>
    <w:rsid w:val="000136C2"/>
    <w:pPr>
      <w:widowControl/>
      <w:tabs>
        <w:tab w:val="left" w:pos="567"/>
        <w:tab w:val="left" w:pos="1134"/>
        <w:tab w:val="num" w:pos="4767"/>
      </w:tabs>
      <w:adjustRightInd/>
      <w:spacing w:after="120"/>
      <w:ind w:firstLine="357"/>
      <w:textAlignment w:val="auto"/>
    </w:pPr>
    <w:rPr>
      <w:rFonts w:eastAsia="Calibri"/>
      <w:lang w:val="x-none" w:eastAsia="x-none"/>
    </w:rPr>
  </w:style>
  <w:style w:type="paragraph" w:customStyle="1" w:styleId="Estilo8">
    <w:name w:val="Estilo8"/>
    <w:basedOn w:val="PrrafodeSentencia"/>
    <w:link w:val="Estilo8Car"/>
    <w:qFormat/>
    <w:rsid w:val="000136C2"/>
    <w:pPr>
      <w:numPr>
        <w:ilvl w:val="2"/>
      </w:numPr>
      <w:tabs>
        <w:tab w:val="left" w:pos="851"/>
      </w:tabs>
      <w:spacing w:before="120" w:after="120"/>
    </w:pPr>
  </w:style>
  <w:style w:type="character" w:customStyle="1" w:styleId="Estilo8Car">
    <w:name w:val="Estilo8 Car"/>
    <w:basedOn w:val="PrrafodeSentenciaChar"/>
    <w:link w:val="Estilo8"/>
    <w:rsid w:val="000136C2"/>
    <w:rPr>
      <w:rFonts w:ascii="Verdana" w:eastAsia="Batang" w:hAnsi="Verdana" w:cs="Times New Roman"/>
      <w:sz w:val="20"/>
      <w:szCs w:val="20"/>
      <w:lang w:val="es-ES_tradnl" w:eastAsia="es-MX"/>
    </w:rPr>
  </w:style>
  <w:style w:type="character" w:customStyle="1" w:styleId="Mencinsinresolver2">
    <w:name w:val="Mención sin resolver2"/>
    <w:basedOn w:val="Fuentedeprrafopredeter"/>
    <w:uiPriority w:val="99"/>
    <w:semiHidden/>
    <w:unhideWhenUsed/>
    <w:rsid w:val="003B7F2A"/>
    <w:rPr>
      <w:color w:val="605E5C"/>
      <w:shd w:val="clear" w:color="auto" w:fill="E1DFDD"/>
    </w:rPr>
  </w:style>
  <w:style w:type="table" w:customStyle="1" w:styleId="GridTable1LightAccent4">
    <w:name w:val="Grid Table 1 Light Accent 4"/>
    <w:basedOn w:val="Tablanormal"/>
    <w:uiPriority w:val="46"/>
    <w:rsid w:val="000F17C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anormal"/>
    <w:uiPriority w:val="46"/>
    <w:rsid w:val="000F17C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anormal"/>
    <w:uiPriority w:val="46"/>
    <w:rsid w:val="00E0653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Revisin">
    <w:name w:val="Revision"/>
    <w:hidden/>
    <w:uiPriority w:val="99"/>
    <w:semiHidden/>
    <w:rsid w:val="00D81D4E"/>
    <w:rPr>
      <w:rFonts w:ascii="Verdana" w:eastAsia="Times New Roman" w:hAnsi="Verdana" w:cs="Times New Roman"/>
      <w:sz w:val="20"/>
      <w:szCs w:val="20"/>
      <w:lang w:val="es-CR" w:eastAsia="es-CR"/>
    </w:rPr>
  </w:style>
  <w:style w:type="character" w:customStyle="1" w:styleId="FootnoteRef">
    <w:name w:val="Footnote Ref"/>
    <w:basedOn w:val="Fuentedeprrafopredeter"/>
    <w:rsid w:val="008673A1"/>
    <w:rPr>
      <w:vertAlign w:val="superscript"/>
    </w:rPr>
  </w:style>
  <w:style w:type="character" w:customStyle="1" w:styleId="Refdenotaalpie1">
    <w:name w:val="Ref. de nota al pie1"/>
    <w:basedOn w:val="Fuentedeprrafopredeter"/>
    <w:rsid w:val="008673A1"/>
    <w:rPr>
      <w:sz w:val="20"/>
      <w:vertAlign w:val="superscript"/>
    </w:rPr>
  </w:style>
  <w:style w:type="numbering" w:styleId="111111">
    <w:name w:val="Outline List 2"/>
    <w:basedOn w:val="Sinlista"/>
    <w:uiPriority w:val="99"/>
    <w:semiHidden/>
    <w:unhideWhenUsed/>
    <w:rsid w:val="00310489"/>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74"/>
    <w:pPr>
      <w:widowControl w:val="0"/>
      <w:adjustRightInd w:val="0"/>
      <w:jc w:val="both"/>
      <w:textAlignment w:val="baseline"/>
    </w:pPr>
    <w:rPr>
      <w:rFonts w:ascii="Verdana" w:eastAsia="Times New Roman" w:hAnsi="Verdana" w:cs="Times New Roman"/>
      <w:sz w:val="20"/>
      <w:szCs w:val="20"/>
      <w:lang w:val="es-CR" w:eastAsia="es-CR"/>
    </w:rPr>
  </w:style>
  <w:style w:type="paragraph" w:styleId="Ttulo1">
    <w:name w:val="heading 1"/>
    <w:basedOn w:val="Normal"/>
    <w:next w:val="Normal"/>
    <w:link w:val="Ttulo1Car"/>
    <w:uiPriority w:val="9"/>
    <w:qFormat/>
    <w:rsid w:val="0010568E"/>
    <w:pPr>
      <w:keepNext/>
      <w:keepLines/>
      <w:tabs>
        <w:tab w:val="left" w:pos="851"/>
      </w:tabs>
      <w:spacing w:before="240" w:after="240"/>
      <w:jc w:val="center"/>
      <w:outlineLvl w:val="0"/>
    </w:pPr>
    <w:rPr>
      <w:rFonts w:cs="Verdana"/>
      <w:b/>
      <w:bCs/>
      <w:caps/>
      <w:snapToGrid w:val="0"/>
    </w:rPr>
  </w:style>
  <w:style w:type="paragraph" w:styleId="Ttulo2">
    <w:name w:val="heading 2"/>
    <w:basedOn w:val="Normal"/>
    <w:next w:val="Normal"/>
    <w:link w:val="Ttulo2Car"/>
    <w:uiPriority w:val="9"/>
    <w:unhideWhenUsed/>
    <w:qFormat/>
    <w:rsid w:val="00467516"/>
    <w:pPr>
      <w:keepNext/>
      <w:keepLines/>
      <w:tabs>
        <w:tab w:val="left" w:pos="1134"/>
      </w:tabs>
      <w:spacing w:before="240" w:after="240"/>
      <w:ind w:left="562"/>
      <w:outlineLvl w:val="1"/>
    </w:pPr>
    <w:rPr>
      <w:rFonts w:eastAsia="MS Mincho"/>
      <w:b/>
      <w:bCs/>
      <w:i/>
    </w:rPr>
  </w:style>
  <w:style w:type="paragraph" w:styleId="Ttulo3">
    <w:name w:val="heading 3"/>
    <w:basedOn w:val="Ttulo2"/>
    <w:next w:val="Normal"/>
    <w:link w:val="Ttulo3Car"/>
    <w:uiPriority w:val="9"/>
    <w:unhideWhenUsed/>
    <w:qFormat/>
    <w:rsid w:val="00F94D74"/>
    <w:pPr>
      <w:ind w:left="1170"/>
      <w:outlineLvl w:val="2"/>
    </w:pPr>
    <w:rPr>
      <w:rFonts w:eastAsia="Verdana" w:cs="Verdana"/>
      <w:b w:val="0"/>
    </w:rPr>
  </w:style>
  <w:style w:type="paragraph" w:styleId="Ttulo4">
    <w:name w:val="heading 4"/>
    <w:basedOn w:val="Normal"/>
    <w:next w:val="Normal"/>
    <w:link w:val="Ttulo4Car"/>
    <w:uiPriority w:val="9"/>
    <w:unhideWhenUsed/>
    <w:qFormat/>
    <w:rsid w:val="001B6BB6"/>
    <w:pPr>
      <w:spacing w:before="240" w:after="240"/>
      <w:outlineLvl w:val="3"/>
    </w:pPr>
    <w:rPr>
      <w:rFonts w:eastAsiaTheme="minorHAnsi"/>
      <w:i/>
      <w:lang w:eastAsia="en-US"/>
    </w:rPr>
  </w:style>
  <w:style w:type="paragraph" w:styleId="Ttulo5">
    <w:name w:val="heading 5"/>
    <w:basedOn w:val="Normal"/>
    <w:next w:val="Normal"/>
    <w:link w:val="Ttulo5Car"/>
    <w:uiPriority w:val="9"/>
    <w:semiHidden/>
    <w:unhideWhenUsed/>
    <w:qFormat/>
    <w:rsid w:val="00467516"/>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Ttulo5"/>
    <w:next w:val="Normal"/>
    <w:link w:val="Ttulo6Car"/>
    <w:uiPriority w:val="9"/>
    <w:unhideWhenUsed/>
    <w:qFormat/>
    <w:rsid w:val="00467516"/>
    <w:pPr>
      <w:keepNext w:val="0"/>
      <w:keepLines w:val="0"/>
      <w:widowControl/>
      <w:tabs>
        <w:tab w:val="num" w:pos="3600"/>
      </w:tabs>
      <w:adjustRightInd/>
      <w:spacing w:before="0"/>
      <w:ind w:left="3600" w:hanging="360"/>
      <w:textAlignment w:val="auto"/>
      <w:outlineLvl w:val="5"/>
    </w:pPr>
    <w:rPr>
      <w:rFonts w:ascii="Verdana" w:eastAsia="Times New Roman" w:hAnsi="Verdana" w:cs="Times New Roman"/>
      <w:color w:val="auto"/>
      <w:spacing w:val="-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568E"/>
    <w:rPr>
      <w:rFonts w:ascii="Verdana" w:eastAsia="Times New Roman" w:hAnsi="Verdana" w:cs="Verdana"/>
      <w:b/>
      <w:bCs/>
      <w:caps/>
      <w:snapToGrid w:val="0"/>
      <w:sz w:val="20"/>
      <w:szCs w:val="20"/>
      <w:lang w:val="es-CR" w:eastAsia="es-CR"/>
    </w:rPr>
  </w:style>
  <w:style w:type="character" w:customStyle="1" w:styleId="Ttulo2Car">
    <w:name w:val="Título 2 Car"/>
    <w:basedOn w:val="Fuentedeprrafopredeter"/>
    <w:link w:val="Ttulo2"/>
    <w:uiPriority w:val="9"/>
    <w:rsid w:val="00467516"/>
    <w:rPr>
      <w:rFonts w:ascii="Verdana" w:eastAsia="MS Mincho" w:hAnsi="Verdana" w:cs="Times New Roman"/>
      <w:b/>
      <w:bCs/>
      <w:i/>
      <w:sz w:val="20"/>
      <w:szCs w:val="20"/>
      <w:lang w:val="es-CR" w:eastAsia="es-CR"/>
    </w:rPr>
  </w:style>
  <w:style w:type="character" w:customStyle="1" w:styleId="Ttulo3Car">
    <w:name w:val="Título 3 Car"/>
    <w:basedOn w:val="Fuentedeprrafopredeter"/>
    <w:link w:val="Ttulo3"/>
    <w:uiPriority w:val="9"/>
    <w:rsid w:val="00F94D74"/>
    <w:rPr>
      <w:rFonts w:ascii="Verdana" w:eastAsia="Verdana" w:hAnsi="Verdana" w:cs="Verdana"/>
      <w:bCs/>
      <w:i/>
      <w:sz w:val="20"/>
      <w:szCs w:val="20"/>
      <w:lang w:val="es-CR" w:eastAsia="es-CR"/>
    </w:rPr>
  </w:style>
  <w:style w:type="character" w:customStyle="1" w:styleId="Ttulo4Car">
    <w:name w:val="Título 4 Car"/>
    <w:basedOn w:val="Fuentedeprrafopredeter"/>
    <w:link w:val="Ttulo4"/>
    <w:uiPriority w:val="9"/>
    <w:rsid w:val="001B6BB6"/>
    <w:rPr>
      <w:rFonts w:ascii="Verdana" w:hAnsi="Verdana" w:cs="Times New Roman"/>
      <w:i/>
      <w:sz w:val="20"/>
      <w:szCs w:val="20"/>
      <w:lang w:val="es-CR"/>
    </w:rPr>
  </w:style>
  <w:style w:type="character" w:customStyle="1" w:styleId="Ttulo5Car">
    <w:name w:val="Título 5 Car"/>
    <w:basedOn w:val="Fuentedeprrafopredeter"/>
    <w:link w:val="Ttulo5"/>
    <w:uiPriority w:val="9"/>
    <w:semiHidden/>
    <w:rsid w:val="00467516"/>
    <w:rPr>
      <w:rFonts w:asciiTheme="majorHAnsi" w:eastAsiaTheme="majorEastAsia" w:hAnsiTheme="majorHAnsi" w:cstheme="majorBidi"/>
      <w:color w:val="1F4D78" w:themeColor="accent1" w:themeShade="7F"/>
      <w:sz w:val="24"/>
      <w:szCs w:val="24"/>
      <w:lang w:val="es-CR" w:eastAsia="es-CR"/>
    </w:rPr>
  </w:style>
  <w:style w:type="character" w:customStyle="1" w:styleId="Ttulo6Car">
    <w:name w:val="Título 6 Car"/>
    <w:basedOn w:val="Fuentedeprrafopredeter"/>
    <w:link w:val="Ttulo6"/>
    <w:uiPriority w:val="9"/>
    <w:rsid w:val="00467516"/>
    <w:rPr>
      <w:rFonts w:ascii="Verdana" w:eastAsia="Times New Roman" w:hAnsi="Verdana" w:cs="Times New Roman"/>
      <w:spacing w:val="-2"/>
      <w:sz w:val="20"/>
      <w:szCs w:val="20"/>
      <w:lang w:val="es-ES_tradnl" w:eastAsia="es-CR"/>
    </w:rPr>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Ref. de nota al,Ref. de nota al pi"/>
    <w:link w:val="4GChar"/>
    <w:uiPriority w:val="99"/>
    <w:qFormat/>
    <w:rsid w:val="00467516"/>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qFormat/>
    <w:rsid w:val="00467516"/>
    <w:rPr>
      <w:lang w:val="es-ES_tradnl"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qFormat/>
    <w:rsid w:val="00467516"/>
    <w:rPr>
      <w:rFonts w:ascii="Verdana" w:eastAsia="Times New Roman" w:hAnsi="Verdana" w:cs="Times New Roman"/>
      <w:sz w:val="20"/>
      <w:szCs w:val="20"/>
      <w:lang w:val="es-ES_tradnl" w:eastAsia="x-non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67516"/>
    <w:pPr>
      <w:widowControl/>
      <w:adjustRightInd/>
      <w:textAlignment w:val="auto"/>
    </w:pPr>
    <w:rPr>
      <w:rFonts w:asciiTheme="minorHAnsi" w:eastAsiaTheme="minorHAnsi" w:hAnsiTheme="minorHAnsi" w:cstheme="minorBidi"/>
      <w:sz w:val="22"/>
      <w:szCs w:val="22"/>
      <w:vertAlign w:val="superscript"/>
      <w:lang w:val="en-US" w:eastAsia="en-US"/>
    </w:rPr>
  </w:style>
  <w:style w:type="character" w:styleId="Nmerodelnea">
    <w:name w:val="line number"/>
    <w:basedOn w:val="Fuentedeprrafopredeter"/>
    <w:uiPriority w:val="99"/>
    <w:semiHidden/>
    <w:unhideWhenUsed/>
    <w:rsid w:val="00467516"/>
  </w:style>
  <w:style w:type="paragraph" w:styleId="Encabezado">
    <w:name w:val="header"/>
    <w:basedOn w:val="Normal"/>
    <w:link w:val="EncabezadoCar"/>
    <w:uiPriority w:val="99"/>
    <w:unhideWhenUsed/>
    <w:rsid w:val="00467516"/>
    <w:pPr>
      <w:tabs>
        <w:tab w:val="center" w:pos="4419"/>
        <w:tab w:val="right" w:pos="8838"/>
      </w:tabs>
    </w:pPr>
  </w:style>
  <w:style w:type="character" w:customStyle="1" w:styleId="EncabezadoCar">
    <w:name w:val="Encabezado Car"/>
    <w:basedOn w:val="Fuentedeprrafopredeter"/>
    <w:link w:val="Encabezado"/>
    <w:uiPriority w:val="99"/>
    <w:rsid w:val="00467516"/>
    <w:rPr>
      <w:rFonts w:ascii="Verdana" w:eastAsia="Times New Roman" w:hAnsi="Verdana" w:cs="Times New Roman"/>
      <w:sz w:val="24"/>
      <w:szCs w:val="24"/>
      <w:lang w:val="es-CR" w:eastAsia="es-CR"/>
    </w:rPr>
  </w:style>
  <w:style w:type="paragraph" w:styleId="Piedepgina">
    <w:name w:val="footer"/>
    <w:basedOn w:val="Normal"/>
    <w:link w:val="PiedepginaCar"/>
    <w:uiPriority w:val="99"/>
    <w:unhideWhenUsed/>
    <w:rsid w:val="00467516"/>
    <w:pPr>
      <w:tabs>
        <w:tab w:val="center" w:pos="4419"/>
        <w:tab w:val="right" w:pos="8838"/>
      </w:tabs>
    </w:pPr>
  </w:style>
  <w:style w:type="character" w:customStyle="1" w:styleId="PiedepginaCar">
    <w:name w:val="Pie de página Car"/>
    <w:basedOn w:val="Fuentedeprrafopredeter"/>
    <w:link w:val="Piedepgina"/>
    <w:uiPriority w:val="99"/>
    <w:rsid w:val="00467516"/>
    <w:rPr>
      <w:rFonts w:ascii="Verdana" w:eastAsia="Times New Roman" w:hAnsi="Verdana" w:cs="Times New Roman"/>
      <w:sz w:val="24"/>
      <w:szCs w:val="24"/>
      <w:lang w:val="es-CR" w:eastAsia="es-CR"/>
    </w:rPr>
  </w:style>
  <w:style w:type="paragraph" w:styleId="Prrafodelista">
    <w:name w:val="List Paragraph"/>
    <w:aliases w:val="List Paragraph2,Lista vistosa - Énfasis 11,Párrafo de lista1,Footnote,List Paragraph1,Colorful List - Accent 11,Parrafos,Subtle Emphasis1,Footnote1,List Paragraph11"/>
    <w:basedOn w:val="Normal"/>
    <w:link w:val="PrrafodelistaCar"/>
    <w:uiPriority w:val="99"/>
    <w:qFormat/>
    <w:rsid w:val="00467516"/>
    <w:pPr>
      <w:ind w:left="708"/>
    </w:pPr>
  </w:style>
  <w:style w:type="character" w:customStyle="1" w:styleId="PrrafodelistaCar">
    <w:name w:val="Párrafo de lista Car"/>
    <w:aliases w:val="List Paragraph2 Car,Lista vistosa - Énfasis 11 Car,Párrafo de lista1 Car,Footnote Car,List Paragraph1 Car,Colorful List - Accent 11 Car,Parrafos Car,Subtle Emphasis1 Car,Footnote1 Car,List Paragraph11 Car"/>
    <w:basedOn w:val="Fuentedeprrafopredeter"/>
    <w:link w:val="Prrafodelista"/>
    <w:uiPriority w:val="99"/>
    <w:rsid w:val="00467516"/>
    <w:rPr>
      <w:rFonts w:ascii="Verdana" w:eastAsia="Times New Roman" w:hAnsi="Verdana" w:cs="Times New Roman"/>
      <w:sz w:val="24"/>
      <w:szCs w:val="24"/>
      <w:lang w:val="es-CR" w:eastAsia="es-CR"/>
    </w:rPr>
  </w:style>
  <w:style w:type="character" w:styleId="Textoennegrita">
    <w:name w:val="Strong"/>
    <w:aliases w:val="Heading 2.1"/>
    <w:basedOn w:val="Fuentedeprrafopredeter"/>
    <w:uiPriority w:val="22"/>
    <w:qFormat/>
    <w:rsid w:val="00467516"/>
    <w:rPr>
      <w:b/>
      <w:bCs/>
    </w:rPr>
  </w:style>
  <w:style w:type="paragraph" w:styleId="NormalWeb">
    <w:name w:val="Normal (Web)"/>
    <w:aliases w:val="Normal (Web) Char1,Normal (Web) Char Char,Normal (Web) Char1 Char,Normal (Web) Char Char Char"/>
    <w:basedOn w:val="Normal"/>
    <w:uiPriority w:val="99"/>
    <w:unhideWhenUsed/>
    <w:rsid w:val="00467516"/>
    <w:rPr>
      <w:rFonts w:ascii="Times New Roman" w:hAnsi="Times New Roman"/>
    </w:rPr>
  </w:style>
  <w:style w:type="character" w:customStyle="1" w:styleId="apple-converted-space">
    <w:name w:val="apple-converted-space"/>
    <w:basedOn w:val="Fuentedeprrafopredeter"/>
    <w:rsid w:val="00467516"/>
  </w:style>
  <w:style w:type="character" w:styleId="Hipervnculo">
    <w:name w:val="Hyperlink"/>
    <w:basedOn w:val="Fuentedeprrafopredeter"/>
    <w:uiPriority w:val="99"/>
    <w:unhideWhenUsed/>
    <w:rsid w:val="00467516"/>
    <w:rPr>
      <w:color w:val="0563C1" w:themeColor="hyperlink"/>
      <w:u w:val="single"/>
    </w:rPr>
  </w:style>
  <w:style w:type="paragraph" w:styleId="TtulodeTDC">
    <w:name w:val="TOC Heading"/>
    <w:basedOn w:val="Ttulo1"/>
    <w:next w:val="Normal"/>
    <w:uiPriority w:val="39"/>
    <w:unhideWhenUsed/>
    <w:qFormat/>
    <w:rsid w:val="00467516"/>
    <w:pPr>
      <w:widowControl/>
      <w:adjustRightInd/>
      <w:spacing w:line="276" w:lineRule="auto"/>
      <w:jc w:val="left"/>
      <w:textAlignment w:val="auto"/>
      <w:outlineLvl w:val="9"/>
    </w:pPr>
    <w:rPr>
      <w:lang w:val="en-US" w:eastAsia="ja-JP"/>
    </w:rPr>
  </w:style>
  <w:style w:type="paragraph" w:styleId="TDC1">
    <w:name w:val="toc 1"/>
    <w:basedOn w:val="Normal"/>
    <w:next w:val="Normal"/>
    <w:autoRedefine/>
    <w:uiPriority w:val="39"/>
    <w:unhideWhenUsed/>
    <w:rsid w:val="00900D77"/>
    <w:pPr>
      <w:tabs>
        <w:tab w:val="right" w:leader="dot" w:pos="10070"/>
      </w:tabs>
      <w:spacing w:before="120" w:after="120"/>
      <w:jc w:val="center"/>
    </w:pPr>
    <w:rPr>
      <w:b/>
      <w:caps/>
      <w:sz w:val="19"/>
      <w:szCs w:val="19"/>
      <w:lang w:val="es-ES"/>
    </w:rPr>
  </w:style>
  <w:style w:type="paragraph" w:styleId="TDC2">
    <w:name w:val="toc 2"/>
    <w:basedOn w:val="Normal"/>
    <w:next w:val="Normal"/>
    <w:autoRedefine/>
    <w:uiPriority w:val="39"/>
    <w:unhideWhenUsed/>
    <w:rsid w:val="00467516"/>
    <w:pPr>
      <w:tabs>
        <w:tab w:val="left" w:pos="450"/>
        <w:tab w:val="left" w:pos="630"/>
        <w:tab w:val="right" w:leader="dot" w:pos="10070"/>
      </w:tabs>
      <w:ind w:left="240"/>
    </w:pPr>
  </w:style>
  <w:style w:type="paragraph" w:styleId="Textodeglobo">
    <w:name w:val="Balloon Text"/>
    <w:basedOn w:val="Normal"/>
    <w:link w:val="TextodegloboCar"/>
    <w:uiPriority w:val="99"/>
    <w:semiHidden/>
    <w:unhideWhenUsed/>
    <w:rsid w:val="00467516"/>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516"/>
    <w:rPr>
      <w:rFonts w:ascii="Tahoma" w:eastAsia="Times New Roman" w:hAnsi="Tahoma" w:cs="Tahoma"/>
      <w:sz w:val="16"/>
      <w:szCs w:val="16"/>
      <w:lang w:val="es-CR" w:eastAsia="es-CR"/>
    </w:rPr>
  </w:style>
  <w:style w:type="table" w:styleId="Tablaconcuadrcula">
    <w:name w:val="Table Grid"/>
    <w:basedOn w:val="Tablanormal"/>
    <w:uiPriority w:val="59"/>
    <w:rsid w:val="00467516"/>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Sinlista"/>
    <w:uiPriority w:val="99"/>
    <w:semiHidden/>
    <w:unhideWhenUsed/>
    <w:rsid w:val="00467516"/>
  </w:style>
  <w:style w:type="character" w:styleId="Refdecomentario">
    <w:name w:val="annotation reference"/>
    <w:basedOn w:val="Fuentedeprrafopredeter"/>
    <w:uiPriority w:val="99"/>
    <w:semiHidden/>
    <w:unhideWhenUsed/>
    <w:rsid w:val="00467516"/>
    <w:rPr>
      <w:sz w:val="16"/>
      <w:szCs w:val="16"/>
    </w:rPr>
  </w:style>
  <w:style w:type="paragraph" w:styleId="Textocomentario">
    <w:name w:val="annotation text"/>
    <w:basedOn w:val="Normal"/>
    <w:link w:val="TextocomentarioCar"/>
    <w:uiPriority w:val="99"/>
    <w:unhideWhenUsed/>
    <w:rsid w:val="00467516"/>
    <w:pPr>
      <w:widowControl/>
      <w:adjustRightInd/>
      <w:spacing w:after="200"/>
      <w:jc w:val="left"/>
      <w:textAlignment w:val="auto"/>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rsid w:val="00467516"/>
    <w:rPr>
      <w:sz w:val="20"/>
      <w:szCs w:val="20"/>
      <w:lang w:val="es-CR"/>
    </w:rPr>
  </w:style>
  <w:style w:type="paragraph" w:styleId="Asuntodelcomentario">
    <w:name w:val="annotation subject"/>
    <w:basedOn w:val="Textocomentario"/>
    <w:next w:val="Textocomentario"/>
    <w:link w:val="AsuntodelcomentarioCar"/>
    <w:uiPriority w:val="99"/>
    <w:semiHidden/>
    <w:unhideWhenUsed/>
    <w:rsid w:val="00467516"/>
    <w:rPr>
      <w:b/>
      <w:bCs/>
    </w:rPr>
  </w:style>
  <w:style w:type="character" w:customStyle="1" w:styleId="AsuntodelcomentarioCar">
    <w:name w:val="Asunto del comentario Car"/>
    <w:basedOn w:val="TextocomentarioCar"/>
    <w:link w:val="Asuntodelcomentario"/>
    <w:uiPriority w:val="99"/>
    <w:semiHidden/>
    <w:rsid w:val="00467516"/>
    <w:rPr>
      <w:b/>
      <w:bCs/>
      <w:sz w:val="20"/>
      <w:szCs w:val="20"/>
      <w:lang w:val="es-CR"/>
    </w:rPr>
  </w:style>
  <w:style w:type="character" w:customStyle="1" w:styleId="ListParagraphChar1">
    <w:name w:val="List Paragraph Char1"/>
    <w:aliases w:val="List Paragraph2 Char1,Lista vistosa - Énfasis 11 Char1,Párrafo de lista1 Char1,Footnote Char1,List Paragraph1 Char1"/>
    <w:basedOn w:val="Fuentedeprrafopredeter"/>
    <w:uiPriority w:val="34"/>
    <w:rsid w:val="00467516"/>
    <w:rPr>
      <w:rFonts w:ascii="Verdana" w:eastAsia="Times New Roman" w:hAnsi="Verdana" w:cs="Times New Roman"/>
      <w:sz w:val="24"/>
      <w:szCs w:val="24"/>
      <w:lang w:eastAsia="es-CR"/>
    </w:rPr>
  </w:style>
  <w:style w:type="paragraph" w:customStyle="1" w:styleId="Default">
    <w:name w:val="Default"/>
    <w:uiPriority w:val="99"/>
    <w:rsid w:val="00467516"/>
    <w:pPr>
      <w:autoSpaceDE w:val="0"/>
      <w:autoSpaceDN w:val="0"/>
      <w:adjustRightInd w:val="0"/>
    </w:pPr>
    <w:rPr>
      <w:rFonts w:ascii="Verdana" w:hAnsi="Verdana" w:cs="Verdana"/>
      <w:color w:val="000000"/>
      <w:sz w:val="24"/>
      <w:szCs w:val="24"/>
      <w:lang w:val="es-CR"/>
    </w:rPr>
  </w:style>
  <w:style w:type="paragraph" w:customStyle="1" w:styleId="PrrafodeSentencia">
    <w:name w:val="*. Párrafo de Sentencia"/>
    <w:basedOn w:val="Normal"/>
    <w:link w:val="PrrafodeSentenciaChar"/>
    <w:qFormat/>
    <w:rsid w:val="00467516"/>
    <w:pPr>
      <w:widowControl/>
      <w:numPr>
        <w:numId w:val="1"/>
      </w:numPr>
      <w:tabs>
        <w:tab w:val="left" w:pos="567"/>
      </w:tabs>
      <w:adjustRightInd/>
      <w:textAlignment w:val="auto"/>
    </w:pPr>
    <w:rPr>
      <w:rFonts w:eastAsia="Batang"/>
      <w:lang w:val="es-ES_tradnl" w:eastAsia="es-MX"/>
    </w:rPr>
  </w:style>
  <w:style w:type="character" w:customStyle="1" w:styleId="PrrafodeSentenciaChar">
    <w:name w:val="*. Párrafo de Sentencia Char"/>
    <w:link w:val="PrrafodeSentencia"/>
    <w:rsid w:val="00467516"/>
    <w:rPr>
      <w:rFonts w:ascii="Verdana" w:eastAsia="Batang" w:hAnsi="Verdana" w:cs="Times New Roman"/>
      <w:sz w:val="20"/>
      <w:szCs w:val="20"/>
      <w:lang w:val="es-ES_tradnl" w:eastAsia="es-MX"/>
    </w:rPr>
  </w:style>
  <w:style w:type="character" w:customStyle="1" w:styleId="shorttext">
    <w:name w:val="shorttext"/>
    <w:basedOn w:val="Fuentedeprrafopredeter"/>
    <w:rsid w:val="00467516"/>
  </w:style>
  <w:style w:type="paragraph" w:customStyle="1" w:styleId="Estilo4">
    <w:name w:val="Estilo4"/>
    <w:basedOn w:val="Prrafodelista"/>
    <w:qFormat/>
    <w:rsid w:val="00467516"/>
    <w:pPr>
      <w:widowControl/>
      <w:numPr>
        <w:ilvl w:val="1"/>
        <w:numId w:val="2"/>
      </w:numPr>
      <w:adjustRightInd/>
      <w:spacing w:after="120"/>
      <w:ind w:left="0" w:firstLine="357"/>
      <w:textAlignment w:val="auto"/>
    </w:pPr>
    <w:rPr>
      <w:spacing w:val="-2"/>
      <w:lang w:eastAsia="en-US"/>
    </w:rPr>
  </w:style>
  <w:style w:type="paragraph" w:customStyle="1" w:styleId="Numberedparagraphs">
    <w:name w:val="Numbered paragraphs"/>
    <w:basedOn w:val="Normal"/>
    <w:qFormat/>
    <w:rsid w:val="00467516"/>
    <w:pPr>
      <w:widowControl/>
      <w:adjustRightInd/>
      <w:spacing w:after="200"/>
      <w:textAlignment w:val="auto"/>
    </w:pPr>
    <w:rPr>
      <w:rFonts w:eastAsia="MS Mincho"/>
      <w:color w:val="000000"/>
      <w:lang w:val="es-ES_tradnl" w:eastAsia="en-US"/>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Fuentedeprrafopredeter"/>
    <w:uiPriority w:val="99"/>
    <w:qFormat/>
    <w:rsid w:val="00467516"/>
    <w:rPr>
      <w:sz w:val="20"/>
      <w:szCs w:val="20"/>
    </w:rPr>
  </w:style>
  <w:style w:type="character" w:customStyle="1" w:styleId="column">
    <w:name w:val="column"/>
    <w:basedOn w:val="Fuentedeprrafopredeter"/>
    <w:rsid w:val="00467516"/>
  </w:style>
  <w:style w:type="character" w:customStyle="1" w:styleId="summarytext">
    <w:name w:val="summarytext"/>
    <w:basedOn w:val="Fuentedeprrafopredeter"/>
    <w:rsid w:val="00467516"/>
  </w:style>
  <w:style w:type="character" w:customStyle="1" w:styleId="textcolumn">
    <w:name w:val="textcolumn"/>
    <w:basedOn w:val="Fuentedeprrafopredeter"/>
    <w:rsid w:val="00467516"/>
  </w:style>
  <w:style w:type="character" w:customStyle="1" w:styleId="more">
    <w:name w:val="more"/>
    <w:basedOn w:val="Fuentedeprrafopredeter"/>
    <w:rsid w:val="00467516"/>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467516"/>
    <w:pPr>
      <w:widowControl/>
      <w:adjustRightInd/>
      <w:spacing w:after="160" w:line="240" w:lineRule="exact"/>
      <w:jc w:val="left"/>
      <w:textAlignment w:val="auto"/>
    </w:pPr>
    <w:rPr>
      <w:rFonts w:eastAsiaTheme="minorHAnsi" w:cstheme="minorBidi"/>
      <w:vertAlign w:val="superscript"/>
      <w:lang w:eastAsia="en-US"/>
    </w:rPr>
  </w:style>
  <w:style w:type="paragraph" w:styleId="Sinespaciado">
    <w:name w:val="No Spacing"/>
    <w:link w:val="SinespaciadoCar"/>
    <w:uiPriority w:val="1"/>
    <w:qFormat/>
    <w:rsid w:val="00467516"/>
    <w:rPr>
      <w:lang w:val="es-CR"/>
    </w:rPr>
  </w:style>
  <w:style w:type="character" w:customStyle="1" w:styleId="SinespaciadoCar">
    <w:name w:val="Sin espaciado Car"/>
    <w:basedOn w:val="Fuentedeprrafopredeter"/>
    <w:link w:val="Sinespaciado"/>
    <w:uiPriority w:val="1"/>
    <w:rsid w:val="00467516"/>
    <w:rPr>
      <w:lang w:val="es-CR"/>
    </w:rPr>
  </w:style>
  <w:style w:type="paragraph" w:styleId="Textoindependiente3">
    <w:name w:val="Body Text 3"/>
    <w:basedOn w:val="Normal"/>
    <w:link w:val="Textoindependiente3Car"/>
    <w:rsid w:val="00467516"/>
    <w:pPr>
      <w:widowControl/>
      <w:adjustRightInd/>
      <w:spacing w:after="120"/>
      <w:jc w:val="left"/>
      <w:textAlignment w:val="auto"/>
    </w:pPr>
    <w:rPr>
      <w:rFonts w:ascii="Times New Roman" w:hAnsi="Times New Roman"/>
      <w:sz w:val="16"/>
      <w:szCs w:val="16"/>
      <w:lang w:val="es-ES_tradnl" w:eastAsia="es-ES"/>
    </w:rPr>
  </w:style>
  <w:style w:type="character" w:customStyle="1" w:styleId="Textoindependiente3Car">
    <w:name w:val="Texto independiente 3 Car"/>
    <w:basedOn w:val="Fuentedeprrafopredeter"/>
    <w:link w:val="Textoindependiente3"/>
    <w:rsid w:val="00467516"/>
    <w:rPr>
      <w:rFonts w:ascii="Times New Roman" w:eastAsia="Times New Roman" w:hAnsi="Times New Roman" w:cs="Times New Roman"/>
      <w:sz w:val="16"/>
      <w:szCs w:val="16"/>
      <w:lang w:val="es-ES_tradnl" w:eastAsia="es-ES"/>
    </w:rPr>
  </w:style>
  <w:style w:type="paragraph" w:styleId="Sangra2detindependiente">
    <w:name w:val="Body Text Indent 2"/>
    <w:basedOn w:val="Normal"/>
    <w:link w:val="Sangra2detindependienteCar"/>
    <w:uiPriority w:val="99"/>
    <w:semiHidden/>
    <w:unhideWhenUsed/>
    <w:rsid w:val="00467516"/>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467516"/>
    <w:rPr>
      <w:rFonts w:ascii="Verdana" w:eastAsia="Times New Roman" w:hAnsi="Verdana" w:cs="Times New Roman"/>
      <w:sz w:val="24"/>
      <w:szCs w:val="24"/>
      <w:lang w:val="es-CR" w:eastAsia="es-CR"/>
    </w:rPr>
  </w:style>
  <w:style w:type="paragraph" w:customStyle="1" w:styleId="Normal1">
    <w:name w:val="Normal1"/>
    <w:rsid w:val="00467516"/>
    <w:pPr>
      <w:widowControl w:val="0"/>
    </w:pPr>
    <w:rPr>
      <w:rFonts w:ascii="Times New Roman" w:eastAsia="Times New Roman" w:hAnsi="Times New Roman" w:cs="Times New Roman"/>
      <w:sz w:val="24"/>
      <w:szCs w:val="24"/>
      <w:lang w:val="es-CR"/>
    </w:rPr>
  </w:style>
  <w:style w:type="paragraph" w:styleId="Textodebloque">
    <w:name w:val="Block Text"/>
    <w:basedOn w:val="Normal"/>
    <w:rsid w:val="00467516"/>
    <w:pPr>
      <w:widowControl/>
      <w:tabs>
        <w:tab w:val="left" w:pos="720"/>
      </w:tabs>
      <w:adjustRightInd/>
      <w:ind w:left="720" w:right="720"/>
      <w:textAlignment w:val="auto"/>
    </w:pPr>
    <w:rPr>
      <w:rFonts w:ascii="Garamond" w:hAnsi="Garamond"/>
      <w:sz w:val="22"/>
      <w:lang w:val="en-GB" w:eastAsia="en-US"/>
    </w:rPr>
  </w:style>
  <w:style w:type="table" w:customStyle="1" w:styleId="GridTable5Dark-Accent11">
    <w:name w:val="Grid Table 5 Dark - Accent 11"/>
    <w:basedOn w:val="Tablanormal"/>
    <w:uiPriority w:val="50"/>
    <w:rsid w:val="004675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Mencinsinresolver1">
    <w:name w:val="Mención sin resolver1"/>
    <w:basedOn w:val="Fuentedeprrafopredeter"/>
    <w:uiPriority w:val="99"/>
    <w:semiHidden/>
    <w:unhideWhenUsed/>
    <w:rsid w:val="00467516"/>
    <w:rPr>
      <w:color w:val="605E5C"/>
      <w:shd w:val="clear" w:color="auto" w:fill="E1DFDD"/>
    </w:rPr>
  </w:style>
  <w:style w:type="character" w:customStyle="1" w:styleId="highlight">
    <w:name w:val="highlight"/>
    <w:basedOn w:val="Fuentedeprrafopredeter"/>
    <w:rsid w:val="00467516"/>
  </w:style>
  <w:style w:type="paragraph" w:customStyle="1" w:styleId="Prrafodelista2">
    <w:name w:val="Párrafo de lista2"/>
    <w:basedOn w:val="Normal"/>
    <w:uiPriority w:val="99"/>
    <w:rsid w:val="00467516"/>
    <w:pPr>
      <w:widowControl/>
      <w:adjustRightInd/>
      <w:ind w:left="720"/>
      <w:jc w:val="left"/>
      <w:textAlignment w:val="auto"/>
    </w:pPr>
    <w:rPr>
      <w:rFonts w:eastAsia="MS Mincho"/>
      <w:lang w:val="es-ES_tradnl" w:eastAsia="en-US"/>
    </w:rPr>
  </w:style>
  <w:style w:type="paragraph" w:styleId="TDC3">
    <w:name w:val="toc 3"/>
    <w:basedOn w:val="Normal"/>
    <w:next w:val="Normal"/>
    <w:autoRedefine/>
    <w:uiPriority w:val="39"/>
    <w:unhideWhenUsed/>
    <w:rsid w:val="00467516"/>
    <w:pPr>
      <w:tabs>
        <w:tab w:val="left" w:pos="1080"/>
        <w:tab w:val="left" w:pos="1260"/>
        <w:tab w:val="left" w:pos="1440"/>
        <w:tab w:val="left" w:pos="1530"/>
        <w:tab w:val="right" w:leader="dot" w:pos="10070"/>
      </w:tabs>
      <w:ind w:left="1080" w:hanging="270"/>
    </w:pPr>
  </w:style>
  <w:style w:type="paragraph" w:customStyle="1" w:styleId="Estilo1">
    <w:name w:val="Estilo1"/>
    <w:basedOn w:val="Normal"/>
    <w:link w:val="Estilo1Car"/>
    <w:qFormat/>
    <w:rsid w:val="00467516"/>
    <w:pPr>
      <w:widowControl/>
      <w:adjustRightInd/>
      <w:spacing w:after="120"/>
      <w:ind w:left="2018" w:right="6" w:hanging="180"/>
      <w:textAlignment w:val="auto"/>
    </w:pPr>
    <w:rPr>
      <w:rFonts w:eastAsia="Batang" w:cs="Times"/>
      <w:i/>
      <w:lang w:val="es-ES_tradnl" w:eastAsia="en-US"/>
    </w:rPr>
  </w:style>
  <w:style w:type="character" w:customStyle="1" w:styleId="Estilo1Car">
    <w:name w:val="Estilo1 Car"/>
    <w:basedOn w:val="Fuentedeprrafopredeter"/>
    <w:link w:val="Estilo1"/>
    <w:rsid w:val="00467516"/>
    <w:rPr>
      <w:rFonts w:ascii="Verdana" w:eastAsia="Batang" w:hAnsi="Verdana" w:cs="Times"/>
      <w:i/>
      <w:sz w:val="20"/>
      <w:szCs w:val="24"/>
      <w:lang w:val="es-ES_tradnl"/>
    </w:rPr>
  </w:style>
  <w:style w:type="numbering" w:customStyle="1" w:styleId="ImportedStyle1">
    <w:name w:val="Imported Style 1"/>
    <w:rsid w:val="00467516"/>
    <w:pPr>
      <w:numPr>
        <w:numId w:val="3"/>
      </w:numPr>
    </w:pPr>
  </w:style>
  <w:style w:type="character" w:customStyle="1" w:styleId="fontstyle01">
    <w:name w:val="fontstyle01"/>
    <w:basedOn w:val="Fuentedeprrafopredeter"/>
    <w:rsid w:val="00467516"/>
    <w:rPr>
      <w:rFonts w:ascii="Arial" w:hAnsi="Arial" w:cs="Arial" w:hint="default"/>
      <w:b w:val="0"/>
      <w:bCs w:val="0"/>
      <w:i w:val="0"/>
      <w:iCs w:val="0"/>
      <w:color w:val="000000"/>
      <w:sz w:val="24"/>
      <w:szCs w:val="24"/>
    </w:rPr>
  </w:style>
  <w:style w:type="paragraph" w:styleId="Textoindependiente2">
    <w:name w:val="Body Text 2"/>
    <w:basedOn w:val="Normal"/>
    <w:link w:val="Textoindependiente2Car"/>
    <w:uiPriority w:val="99"/>
    <w:unhideWhenUsed/>
    <w:rsid w:val="00F83A85"/>
    <w:pPr>
      <w:spacing w:after="120" w:line="480" w:lineRule="auto"/>
    </w:pPr>
  </w:style>
  <w:style w:type="character" w:customStyle="1" w:styleId="Textoindependiente2Car">
    <w:name w:val="Texto independiente 2 Car"/>
    <w:basedOn w:val="Fuentedeprrafopredeter"/>
    <w:link w:val="Textoindependiente2"/>
    <w:uiPriority w:val="99"/>
    <w:rsid w:val="00F83A85"/>
    <w:rPr>
      <w:rFonts w:ascii="Verdana" w:eastAsia="Times New Roman" w:hAnsi="Verdana" w:cs="Times New Roman"/>
      <w:sz w:val="24"/>
      <w:szCs w:val="24"/>
      <w:lang w:val="es-CR" w:eastAsia="es-CR"/>
    </w:rPr>
  </w:style>
  <w:style w:type="paragraph" w:customStyle="1" w:styleId="Textoindependiente20">
    <w:name w:val="Texto independiente2"/>
    <w:basedOn w:val="Normal"/>
    <w:rsid w:val="00F519EF"/>
    <w:pPr>
      <w:adjustRightInd/>
      <w:textAlignment w:val="auto"/>
    </w:pPr>
    <w:rPr>
      <w:rFonts w:ascii="Times" w:hAnsi="Times"/>
      <w:lang w:val="es-ES"/>
    </w:rPr>
  </w:style>
  <w:style w:type="paragraph" w:styleId="Textoindependiente">
    <w:name w:val="Body Text"/>
    <w:basedOn w:val="Normal"/>
    <w:link w:val="TextoindependienteCar"/>
    <w:uiPriority w:val="99"/>
    <w:semiHidden/>
    <w:unhideWhenUsed/>
    <w:rsid w:val="00EE16ED"/>
    <w:pPr>
      <w:spacing w:after="120"/>
    </w:pPr>
  </w:style>
  <w:style w:type="character" w:customStyle="1" w:styleId="TextoindependienteCar">
    <w:name w:val="Texto independiente Car"/>
    <w:basedOn w:val="Fuentedeprrafopredeter"/>
    <w:link w:val="Textoindependiente"/>
    <w:uiPriority w:val="99"/>
    <w:semiHidden/>
    <w:rsid w:val="00EE16ED"/>
    <w:rPr>
      <w:rFonts w:ascii="Verdana" w:eastAsia="Times New Roman" w:hAnsi="Verdana" w:cs="Times New Roman"/>
      <w:sz w:val="24"/>
      <w:szCs w:val="24"/>
      <w:lang w:val="es-CR" w:eastAsia="es-CR"/>
    </w:rPr>
  </w:style>
  <w:style w:type="character" w:customStyle="1" w:styleId="fontstyle21">
    <w:name w:val="fontstyle21"/>
    <w:basedOn w:val="Fuentedeprrafopredeter"/>
    <w:rsid w:val="005B0504"/>
    <w:rPr>
      <w:rFonts w:ascii="Helvetica-Oblique" w:hAnsi="Helvetica-Oblique" w:hint="default"/>
      <w:b w:val="0"/>
      <w:bCs w:val="0"/>
      <w:i/>
      <w:iCs/>
      <w:color w:val="2B2B2B"/>
      <w:sz w:val="16"/>
      <w:szCs w:val="16"/>
    </w:rPr>
  </w:style>
  <w:style w:type="paragraph" w:customStyle="1" w:styleId="1">
    <w:name w:val="1"/>
    <w:basedOn w:val="Normal"/>
    <w:rsid w:val="003248AE"/>
    <w:pPr>
      <w:widowControl/>
      <w:adjustRightInd/>
      <w:spacing w:after="160" w:line="240" w:lineRule="exact"/>
      <w:jc w:val="left"/>
      <w:textAlignment w:val="auto"/>
    </w:pPr>
    <w:rPr>
      <w:sz w:val="16"/>
      <w:szCs w:val="22"/>
      <w:vertAlign w:val="superscript"/>
      <w:lang w:eastAsia="en-US"/>
    </w:rPr>
  </w:style>
  <w:style w:type="paragraph" w:customStyle="1" w:styleId="Heading71">
    <w:name w:val="Heading 71"/>
    <w:basedOn w:val="Normal"/>
    <w:rsid w:val="00075A44"/>
    <w:pPr>
      <w:numPr>
        <w:numId w:val="7"/>
      </w:numPr>
    </w:pPr>
    <w:rPr>
      <w:sz w:val="24"/>
      <w:szCs w:val="24"/>
    </w:rPr>
  </w:style>
  <w:style w:type="character" w:customStyle="1" w:styleId="apple-style-span">
    <w:name w:val="apple-style-span"/>
    <w:basedOn w:val="Fuentedeprrafopredeter"/>
    <w:rsid w:val="00E45960"/>
  </w:style>
  <w:style w:type="character" w:styleId="Hipervnculovisitado">
    <w:name w:val="FollowedHyperlink"/>
    <w:basedOn w:val="Fuentedeprrafopredeter"/>
    <w:uiPriority w:val="99"/>
    <w:semiHidden/>
    <w:unhideWhenUsed/>
    <w:rsid w:val="008372D9"/>
    <w:rPr>
      <w:color w:val="954F72" w:themeColor="followedHyperlink"/>
      <w:u w:val="single"/>
    </w:rPr>
  </w:style>
  <w:style w:type="paragraph" w:customStyle="1" w:styleId="Footnotes">
    <w:name w:val="**. Footnotes"/>
    <w:basedOn w:val="Textonotapie"/>
    <w:link w:val="FootnotesChar"/>
    <w:autoRedefine/>
    <w:qFormat/>
    <w:rsid w:val="000136C2"/>
    <w:pPr>
      <w:widowControl/>
      <w:adjustRightInd/>
      <w:spacing w:before="120" w:after="120"/>
      <w:jc w:val="center"/>
      <w:textAlignment w:val="auto"/>
    </w:pPr>
    <w:rPr>
      <w:iCs/>
      <w:sz w:val="16"/>
      <w:szCs w:val="18"/>
      <w:lang w:val="es-ES"/>
    </w:rPr>
  </w:style>
  <w:style w:type="character" w:customStyle="1" w:styleId="FootnotesChar">
    <w:name w:val="**. Footnotes Char"/>
    <w:link w:val="Footnotes"/>
    <w:rsid w:val="000136C2"/>
    <w:rPr>
      <w:rFonts w:ascii="Verdana" w:eastAsia="Times New Roman" w:hAnsi="Verdana" w:cs="Times New Roman"/>
      <w:iCs/>
      <w:sz w:val="16"/>
      <w:szCs w:val="18"/>
      <w:lang w:val="es-ES" w:eastAsia="x-none"/>
    </w:rPr>
  </w:style>
  <w:style w:type="paragraph" w:customStyle="1" w:styleId="Estilo2">
    <w:name w:val="Estilo2"/>
    <w:basedOn w:val="Normal"/>
    <w:qFormat/>
    <w:rsid w:val="000136C2"/>
    <w:pPr>
      <w:widowControl/>
      <w:tabs>
        <w:tab w:val="left" w:pos="567"/>
        <w:tab w:val="left" w:pos="1134"/>
        <w:tab w:val="num" w:pos="4767"/>
      </w:tabs>
      <w:adjustRightInd/>
      <w:spacing w:after="120"/>
      <w:ind w:firstLine="357"/>
      <w:textAlignment w:val="auto"/>
    </w:pPr>
    <w:rPr>
      <w:rFonts w:eastAsia="Calibri"/>
      <w:lang w:val="x-none" w:eastAsia="x-none"/>
    </w:rPr>
  </w:style>
  <w:style w:type="paragraph" w:customStyle="1" w:styleId="Estilo8">
    <w:name w:val="Estilo8"/>
    <w:basedOn w:val="PrrafodeSentencia"/>
    <w:link w:val="Estilo8Car"/>
    <w:qFormat/>
    <w:rsid w:val="000136C2"/>
    <w:pPr>
      <w:numPr>
        <w:ilvl w:val="2"/>
      </w:numPr>
      <w:tabs>
        <w:tab w:val="left" w:pos="851"/>
      </w:tabs>
      <w:spacing w:before="120" w:after="120"/>
    </w:pPr>
  </w:style>
  <w:style w:type="character" w:customStyle="1" w:styleId="Estilo8Car">
    <w:name w:val="Estilo8 Car"/>
    <w:basedOn w:val="PrrafodeSentenciaChar"/>
    <w:link w:val="Estilo8"/>
    <w:rsid w:val="000136C2"/>
    <w:rPr>
      <w:rFonts w:ascii="Verdana" w:eastAsia="Batang" w:hAnsi="Verdana" w:cs="Times New Roman"/>
      <w:sz w:val="20"/>
      <w:szCs w:val="20"/>
      <w:lang w:val="es-ES_tradnl" w:eastAsia="es-MX"/>
    </w:rPr>
  </w:style>
  <w:style w:type="character" w:customStyle="1" w:styleId="Mencinsinresolver2">
    <w:name w:val="Mención sin resolver2"/>
    <w:basedOn w:val="Fuentedeprrafopredeter"/>
    <w:uiPriority w:val="99"/>
    <w:semiHidden/>
    <w:unhideWhenUsed/>
    <w:rsid w:val="003B7F2A"/>
    <w:rPr>
      <w:color w:val="605E5C"/>
      <w:shd w:val="clear" w:color="auto" w:fill="E1DFDD"/>
    </w:rPr>
  </w:style>
  <w:style w:type="table" w:customStyle="1" w:styleId="GridTable1LightAccent4">
    <w:name w:val="Grid Table 1 Light Accent 4"/>
    <w:basedOn w:val="Tablanormal"/>
    <w:uiPriority w:val="46"/>
    <w:rsid w:val="000F17C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anormal"/>
    <w:uiPriority w:val="46"/>
    <w:rsid w:val="000F17C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anormal"/>
    <w:uiPriority w:val="46"/>
    <w:rsid w:val="00E0653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Revisin">
    <w:name w:val="Revision"/>
    <w:hidden/>
    <w:uiPriority w:val="99"/>
    <w:semiHidden/>
    <w:rsid w:val="00D81D4E"/>
    <w:rPr>
      <w:rFonts w:ascii="Verdana" w:eastAsia="Times New Roman" w:hAnsi="Verdana" w:cs="Times New Roman"/>
      <w:sz w:val="20"/>
      <w:szCs w:val="20"/>
      <w:lang w:val="es-CR" w:eastAsia="es-CR"/>
    </w:rPr>
  </w:style>
  <w:style w:type="character" w:customStyle="1" w:styleId="FootnoteRef">
    <w:name w:val="Footnote Ref"/>
    <w:basedOn w:val="Fuentedeprrafopredeter"/>
    <w:rsid w:val="008673A1"/>
    <w:rPr>
      <w:vertAlign w:val="superscript"/>
    </w:rPr>
  </w:style>
  <w:style w:type="character" w:customStyle="1" w:styleId="Refdenotaalpie1">
    <w:name w:val="Ref. de nota al pie1"/>
    <w:basedOn w:val="Fuentedeprrafopredeter"/>
    <w:rsid w:val="008673A1"/>
    <w:rPr>
      <w:sz w:val="20"/>
      <w:vertAlign w:val="superscript"/>
    </w:rPr>
  </w:style>
  <w:style w:type="numbering" w:styleId="111111">
    <w:name w:val="Outline List 2"/>
    <w:basedOn w:val="Sinlista"/>
    <w:uiPriority w:val="99"/>
    <w:semiHidden/>
    <w:unhideWhenUsed/>
    <w:rsid w:val="0031048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2891">
      <w:bodyDiv w:val="1"/>
      <w:marLeft w:val="0"/>
      <w:marRight w:val="0"/>
      <w:marTop w:val="0"/>
      <w:marBottom w:val="0"/>
      <w:divBdr>
        <w:top w:val="none" w:sz="0" w:space="0" w:color="auto"/>
        <w:left w:val="none" w:sz="0" w:space="0" w:color="auto"/>
        <w:bottom w:val="none" w:sz="0" w:space="0" w:color="auto"/>
        <w:right w:val="none" w:sz="0" w:space="0" w:color="auto"/>
      </w:divBdr>
    </w:div>
    <w:div w:id="42020072">
      <w:bodyDiv w:val="1"/>
      <w:marLeft w:val="0"/>
      <w:marRight w:val="0"/>
      <w:marTop w:val="0"/>
      <w:marBottom w:val="0"/>
      <w:divBdr>
        <w:top w:val="none" w:sz="0" w:space="0" w:color="auto"/>
        <w:left w:val="none" w:sz="0" w:space="0" w:color="auto"/>
        <w:bottom w:val="none" w:sz="0" w:space="0" w:color="auto"/>
        <w:right w:val="none" w:sz="0" w:space="0" w:color="auto"/>
      </w:divBdr>
      <w:divsChild>
        <w:div w:id="908926297">
          <w:marLeft w:val="0"/>
          <w:marRight w:val="0"/>
          <w:marTop w:val="0"/>
          <w:marBottom w:val="0"/>
          <w:divBdr>
            <w:top w:val="none" w:sz="0" w:space="0" w:color="auto"/>
            <w:left w:val="none" w:sz="0" w:space="0" w:color="auto"/>
            <w:bottom w:val="none" w:sz="0" w:space="0" w:color="auto"/>
            <w:right w:val="none" w:sz="0" w:space="0" w:color="auto"/>
          </w:divBdr>
          <w:divsChild>
            <w:div w:id="698313203">
              <w:marLeft w:val="0"/>
              <w:marRight w:val="0"/>
              <w:marTop w:val="0"/>
              <w:marBottom w:val="0"/>
              <w:divBdr>
                <w:top w:val="none" w:sz="0" w:space="0" w:color="auto"/>
                <w:left w:val="none" w:sz="0" w:space="0" w:color="auto"/>
                <w:bottom w:val="none" w:sz="0" w:space="0" w:color="auto"/>
                <w:right w:val="none" w:sz="0" w:space="0" w:color="auto"/>
              </w:divBdr>
              <w:divsChild>
                <w:div w:id="2007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0392">
      <w:bodyDiv w:val="1"/>
      <w:marLeft w:val="0"/>
      <w:marRight w:val="0"/>
      <w:marTop w:val="0"/>
      <w:marBottom w:val="0"/>
      <w:divBdr>
        <w:top w:val="none" w:sz="0" w:space="0" w:color="auto"/>
        <w:left w:val="none" w:sz="0" w:space="0" w:color="auto"/>
        <w:bottom w:val="none" w:sz="0" w:space="0" w:color="auto"/>
        <w:right w:val="none" w:sz="0" w:space="0" w:color="auto"/>
      </w:divBdr>
    </w:div>
    <w:div w:id="104543486">
      <w:bodyDiv w:val="1"/>
      <w:marLeft w:val="0"/>
      <w:marRight w:val="0"/>
      <w:marTop w:val="0"/>
      <w:marBottom w:val="0"/>
      <w:divBdr>
        <w:top w:val="none" w:sz="0" w:space="0" w:color="auto"/>
        <w:left w:val="none" w:sz="0" w:space="0" w:color="auto"/>
        <w:bottom w:val="none" w:sz="0" w:space="0" w:color="auto"/>
        <w:right w:val="none" w:sz="0" w:space="0" w:color="auto"/>
      </w:divBdr>
      <w:divsChild>
        <w:div w:id="1550653065">
          <w:marLeft w:val="0"/>
          <w:marRight w:val="0"/>
          <w:marTop w:val="0"/>
          <w:marBottom w:val="0"/>
          <w:divBdr>
            <w:top w:val="none" w:sz="0" w:space="0" w:color="auto"/>
            <w:left w:val="none" w:sz="0" w:space="0" w:color="auto"/>
            <w:bottom w:val="none" w:sz="0" w:space="0" w:color="auto"/>
            <w:right w:val="none" w:sz="0" w:space="0" w:color="auto"/>
          </w:divBdr>
          <w:divsChild>
            <w:div w:id="1032265849">
              <w:marLeft w:val="0"/>
              <w:marRight w:val="0"/>
              <w:marTop w:val="0"/>
              <w:marBottom w:val="0"/>
              <w:divBdr>
                <w:top w:val="none" w:sz="0" w:space="0" w:color="auto"/>
                <w:left w:val="none" w:sz="0" w:space="0" w:color="auto"/>
                <w:bottom w:val="none" w:sz="0" w:space="0" w:color="auto"/>
                <w:right w:val="none" w:sz="0" w:space="0" w:color="auto"/>
              </w:divBdr>
              <w:divsChild>
                <w:div w:id="7240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3935">
      <w:bodyDiv w:val="1"/>
      <w:marLeft w:val="0"/>
      <w:marRight w:val="0"/>
      <w:marTop w:val="0"/>
      <w:marBottom w:val="0"/>
      <w:divBdr>
        <w:top w:val="none" w:sz="0" w:space="0" w:color="auto"/>
        <w:left w:val="none" w:sz="0" w:space="0" w:color="auto"/>
        <w:bottom w:val="none" w:sz="0" w:space="0" w:color="auto"/>
        <w:right w:val="none" w:sz="0" w:space="0" w:color="auto"/>
      </w:divBdr>
      <w:divsChild>
        <w:div w:id="1922644479">
          <w:marLeft w:val="0"/>
          <w:marRight w:val="0"/>
          <w:marTop w:val="0"/>
          <w:marBottom w:val="0"/>
          <w:divBdr>
            <w:top w:val="none" w:sz="0" w:space="0" w:color="auto"/>
            <w:left w:val="none" w:sz="0" w:space="0" w:color="auto"/>
            <w:bottom w:val="none" w:sz="0" w:space="0" w:color="auto"/>
            <w:right w:val="none" w:sz="0" w:space="0" w:color="auto"/>
          </w:divBdr>
          <w:divsChild>
            <w:div w:id="1299917673">
              <w:marLeft w:val="0"/>
              <w:marRight w:val="0"/>
              <w:marTop w:val="0"/>
              <w:marBottom w:val="0"/>
              <w:divBdr>
                <w:top w:val="none" w:sz="0" w:space="0" w:color="auto"/>
                <w:left w:val="none" w:sz="0" w:space="0" w:color="auto"/>
                <w:bottom w:val="none" w:sz="0" w:space="0" w:color="auto"/>
                <w:right w:val="none" w:sz="0" w:space="0" w:color="auto"/>
              </w:divBdr>
              <w:divsChild>
                <w:div w:id="20504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5315">
      <w:bodyDiv w:val="1"/>
      <w:marLeft w:val="0"/>
      <w:marRight w:val="0"/>
      <w:marTop w:val="0"/>
      <w:marBottom w:val="0"/>
      <w:divBdr>
        <w:top w:val="none" w:sz="0" w:space="0" w:color="auto"/>
        <w:left w:val="none" w:sz="0" w:space="0" w:color="auto"/>
        <w:bottom w:val="none" w:sz="0" w:space="0" w:color="auto"/>
        <w:right w:val="none" w:sz="0" w:space="0" w:color="auto"/>
      </w:divBdr>
    </w:div>
    <w:div w:id="162280706">
      <w:bodyDiv w:val="1"/>
      <w:marLeft w:val="0"/>
      <w:marRight w:val="0"/>
      <w:marTop w:val="0"/>
      <w:marBottom w:val="0"/>
      <w:divBdr>
        <w:top w:val="none" w:sz="0" w:space="0" w:color="auto"/>
        <w:left w:val="none" w:sz="0" w:space="0" w:color="auto"/>
        <w:bottom w:val="none" w:sz="0" w:space="0" w:color="auto"/>
        <w:right w:val="none" w:sz="0" w:space="0" w:color="auto"/>
      </w:divBdr>
    </w:div>
    <w:div w:id="163011443">
      <w:bodyDiv w:val="1"/>
      <w:marLeft w:val="0"/>
      <w:marRight w:val="0"/>
      <w:marTop w:val="0"/>
      <w:marBottom w:val="0"/>
      <w:divBdr>
        <w:top w:val="none" w:sz="0" w:space="0" w:color="auto"/>
        <w:left w:val="none" w:sz="0" w:space="0" w:color="auto"/>
        <w:bottom w:val="none" w:sz="0" w:space="0" w:color="auto"/>
        <w:right w:val="none" w:sz="0" w:space="0" w:color="auto"/>
      </w:divBdr>
    </w:div>
    <w:div w:id="175652858">
      <w:bodyDiv w:val="1"/>
      <w:marLeft w:val="0"/>
      <w:marRight w:val="0"/>
      <w:marTop w:val="0"/>
      <w:marBottom w:val="0"/>
      <w:divBdr>
        <w:top w:val="none" w:sz="0" w:space="0" w:color="auto"/>
        <w:left w:val="none" w:sz="0" w:space="0" w:color="auto"/>
        <w:bottom w:val="none" w:sz="0" w:space="0" w:color="auto"/>
        <w:right w:val="none" w:sz="0" w:space="0" w:color="auto"/>
      </w:divBdr>
      <w:divsChild>
        <w:div w:id="1466195904">
          <w:marLeft w:val="0"/>
          <w:marRight w:val="0"/>
          <w:marTop w:val="0"/>
          <w:marBottom w:val="0"/>
          <w:divBdr>
            <w:top w:val="none" w:sz="0" w:space="0" w:color="auto"/>
            <w:left w:val="none" w:sz="0" w:space="0" w:color="auto"/>
            <w:bottom w:val="none" w:sz="0" w:space="0" w:color="auto"/>
            <w:right w:val="none" w:sz="0" w:space="0" w:color="auto"/>
          </w:divBdr>
          <w:divsChild>
            <w:div w:id="1972444404">
              <w:marLeft w:val="0"/>
              <w:marRight w:val="0"/>
              <w:marTop w:val="0"/>
              <w:marBottom w:val="0"/>
              <w:divBdr>
                <w:top w:val="none" w:sz="0" w:space="0" w:color="auto"/>
                <w:left w:val="none" w:sz="0" w:space="0" w:color="auto"/>
                <w:bottom w:val="none" w:sz="0" w:space="0" w:color="auto"/>
                <w:right w:val="none" w:sz="0" w:space="0" w:color="auto"/>
              </w:divBdr>
              <w:divsChild>
                <w:div w:id="510140791">
                  <w:marLeft w:val="0"/>
                  <w:marRight w:val="0"/>
                  <w:marTop w:val="0"/>
                  <w:marBottom w:val="0"/>
                  <w:divBdr>
                    <w:top w:val="none" w:sz="0" w:space="0" w:color="auto"/>
                    <w:left w:val="none" w:sz="0" w:space="0" w:color="auto"/>
                    <w:bottom w:val="none" w:sz="0" w:space="0" w:color="auto"/>
                    <w:right w:val="none" w:sz="0" w:space="0" w:color="auto"/>
                  </w:divBdr>
                  <w:divsChild>
                    <w:div w:id="1341935475">
                      <w:marLeft w:val="0"/>
                      <w:marRight w:val="0"/>
                      <w:marTop w:val="0"/>
                      <w:marBottom w:val="0"/>
                      <w:divBdr>
                        <w:top w:val="none" w:sz="0" w:space="0" w:color="auto"/>
                        <w:left w:val="none" w:sz="0" w:space="0" w:color="auto"/>
                        <w:bottom w:val="none" w:sz="0" w:space="0" w:color="auto"/>
                        <w:right w:val="none" w:sz="0" w:space="0" w:color="auto"/>
                      </w:divBdr>
                      <w:divsChild>
                        <w:div w:id="427820114">
                          <w:marLeft w:val="0"/>
                          <w:marRight w:val="0"/>
                          <w:marTop w:val="0"/>
                          <w:marBottom w:val="0"/>
                          <w:divBdr>
                            <w:top w:val="none" w:sz="0" w:space="0" w:color="auto"/>
                            <w:left w:val="none" w:sz="0" w:space="0" w:color="auto"/>
                            <w:bottom w:val="none" w:sz="0" w:space="0" w:color="auto"/>
                            <w:right w:val="none" w:sz="0" w:space="0" w:color="auto"/>
                          </w:divBdr>
                          <w:divsChild>
                            <w:div w:id="1321155135">
                              <w:marLeft w:val="0"/>
                              <w:marRight w:val="0"/>
                              <w:marTop w:val="0"/>
                              <w:marBottom w:val="0"/>
                              <w:divBdr>
                                <w:top w:val="none" w:sz="0" w:space="0" w:color="auto"/>
                                <w:left w:val="none" w:sz="0" w:space="0" w:color="auto"/>
                                <w:bottom w:val="none" w:sz="0" w:space="0" w:color="auto"/>
                                <w:right w:val="none" w:sz="0" w:space="0" w:color="auto"/>
                              </w:divBdr>
                              <w:divsChild>
                                <w:div w:id="711729923">
                                  <w:marLeft w:val="0"/>
                                  <w:marRight w:val="0"/>
                                  <w:marTop w:val="0"/>
                                  <w:marBottom w:val="0"/>
                                  <w:divBdr>
                                    <w:top w:val="none" w:sz="0" w:space="0" w:color="auto"/>
                                    <w:left w:val="none" w:sz="0" w:space="0" w:color="auto"/>
                                    <w:bottom w:val="none" w:sz="0" w:space="0" w:color="auto"/>
                                    <w:right w:val="none" w:sz="0" w:space="0" w:color="auto"/>
                                  </w:divBdr>
                                  <w:divsChild>
                                    <w:div w:id="1402485285">
                                      <w:marLeft w:val="0"/>
                                      <w:marRight w:val="0"/>
                                      <w:marTop w:val="0"/>
                                      <w:marBottom w:val="0"/>
                                      <w:divBdr>
                                        <w:top w:val="none" w:sz="0" w:space="0" w:color="auto"/>
                                        <w:left w:val="none" w:sz="0" w:space="0" w:color="auto"/>
                                        <w:bottom w:val="none" w:sz="0" w:space="0" w:color="auto"/>
                                        <w:right w:val="none" w:sz="0" w:space="0" w:color="auto"/>
                                      </w:divBdr>
                                      <w:divsChild>
                                        <w:div w:id="99954643">
                                          <w:marLeft w:val="0"/>
                                          <w:marRight w:val="0"/>
                                          <w:marTop w:val="0"/>
                                          <w:marBottom w:val="0"/>
                                          <w:divBdr>
                                            <w:top w:val="none" w:sz="0" w:space="0" w:color="auto"/>
                                            <w:left w:val="none" w:sz="0" w:space="0" w:color="auto"/>
                                            <w:bottom w:val="none" w:sz="0" w:space="0" w:color="auto"/>
                                            <w:right w:val="none" w:sz="0" w:space="0" w:color="auto"/>
                                          </w:divBdr>
                                          <w:divsChild>
                                            <w:div w:id="1516573070">
                                              <w:marLeft w:val="0"/>
                                              <w:marRight w:val="0"/>
                                              <w:marTop w:val="0"/>
                                              <w:marBottom w:val="0"/>
                                              <w:divBdr>
                                                <w:top w:val="none" w:sz="0" w:space="0" w:color="auto"/>
                                                <w:left w:val="none" w:sz="0" w:space="0" w:color="auto"/>
                                                <w:bottom w:val="none" w:sz="0" w:space="0" w:color="auto"/>
                                                <w:right w:val="none" w:sz="0" w:space="0" w:color="auto"/>
                                              </w:divBdr>
                                              <w:divsChild>
                                                <w:div w:id="995065307">
                                                  <w:marLeft w:val="0"/>
                                                  <w:marRight w:val="0"/>
                                                  <w:marTop w:val="0"/>
                                                  <w:marBottom w:val="0"/>
                                                  <w:divBdr>
                                                    <w:top w:val="none" w:sz="0" w:space="0" w:color="auto"/>
                                                    <w:left w:val="none" w:sz="0" w:space="0" w:color="auto"/>
                                                    <w:bottom w:val="none" w:sz="0" w:space="0" w:color="auto"/>
                                                    <w:right w:val="none" w:sz="0" w:space="0" w:color="auto"/>
                                                  </w:divBdr>
                                                  <w:divsChild>
                                                    <w:div w:id="3727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369804">
      <w:bodyDiv w:val="1"/>
      <w:marLeft w:val="0"/>
      <w:marRight w:val="0"/>
      <w:marTop w:val="0"/>
      <w:marBottom w:val="0"/>
      <w:divBdr>
        <w:top w:val="none" w:sz="0" w:space="0" w:color="auto"/>
        <w:left w:val="none" w:sz="0" w:space="0" w:color="auto"/>
        <w:bottom w:val="none" w:sz="0" w:space="0" w:color="auto"/>
        <w:right w:val="none" w:sz="0" w:space="0" w:color="auto"/>
      </w:divBdr>
    </w:div>
    <w:div w:id="248736484">
      <w:bodyDiv w:val="1"/>
      <w:marLeft w:val="0"/>
      <w:marRight w:val="0"/>
      <w:marTop w:val="0"/>
      <w:marBottom w:val="0"/>
      <w:divBdr>
        <w:top w:val="none" w:sz="0" w:space="0" w:color="auto"/>
        <w:left w:val="none" w:sz="0" w:space="0" w:color="auto"/>
        <w:bottom w:val="none" w:sz="0" w:space="0" w:color="auto"/>
        <w:right w:val="none" w:sz="0" w:space="0" w:color="auto"/>
      </w:divBdr>
      <w:divsChild>
        <w:div w:id="1595093720">
          <w:marLeft w:val="0"/>
          <w:marRight w:val="0"/>
          <w:marTop w:val="0"/>
          <w:marBottom w:val="0"/>
          <w:divBdr>
            <w:top w:val="none" w:sz="0" w:space="0" w:color="auto"/>
            <w:left w:val="none" w:sz="0" w:space="0" w:color="auto"/>
            <w:bottom w:val="none" w:sz="0" w:space="0" w:color="auto"/>
            <w:right w:val="none" w:sz="0" w:space="0" w:color="auto"/>
          </w:divBdr>
          <w:divsChild>
            <w:div w:id="2121099360">
              <w:marLeft w:val="0"/>
              <w:marRight w:val="0"/>
              <w:marTop w:val="0"/>
              <w:marBottom w:val="0"/>
              <w:divBdr>
                <w:top w:val="none" w:sz="0" w:space="0" w:color="auto"/>
                <w:left w:val="none" w:sz="0" w:space="0" w:color="auto"/>
                <w:bottom w:val="none" w:sz="0" w:space="0" w:color="auto"/>
                <w:right w:val="none" w:sz="0" w:space="0" w:color="auto"/>
              </w:divBdr>
              <w:divsChild>
                <w:div w:id="1768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10112">
      <w:bodyDiv w:val="1"/>
      <w:marLeft w:val="0"/>
      <w:marRight w:val="0"/>
      <w:marTop w:val="0"/>
      <w:marBottom w:val="0"/>
      <w:divBdr>
        <w:top w:val="none" w:sz="0" w:space="0" w:color="auto"/>
        <w:left w:val="none" w:sz="0" w:space="0" w:color="auto"/>
        <w:bottom w:val="none" w:sz="0" w:space="0" w:color="auto"/>
        <w:right w:val="none" w:sz="0" w:space="0" w:color="auto"/>
      </w:divBdr>
      <w:divsChild>
        <w:div w:id="610209830">
          <w:marLeft w:val="0"/>
          <w:marRight w:val="0"/>
          <w:marTop w:val="0"/>
          <w:marBottom w:val="0"/>
          <w:divBdr>
            <w:top w:val="none" w:sz="0" w:space="0" w:color="auto"/>
            <w:left w:val="none" w:sz="0" w:space="0" w:color="auto"/>
            <w:bottom w:val="none" w:sz="0" w:space="0" w:color="auto"/>
            <w:right w:val="none" w:sz="0" w:space="0" w:color="auto"/>
          </w:divBdr>
          <w:divsChild>
            <w:div w:id="2010447966">
              <w:marLeft w:val="0"/>
              <w:marRight w:val="0"/>
              <w:marTop w:val="0"/>
              <w:marBottom w:val="0"/>
              <w:divBdr>
                <w:top w:val="none" w:sz="0" w:space="0" w:color="auto"/>
                <w:left w:val="none" w:sz="0" w:space="0" w:color="auto"/>
                <w:bottom w:val="none" w:sz="0" w:space="0" w:color="auto"/>
                <w:right w:val="none" w:sz="0" w:space="0" w:color="auto"/>
              </w:divBdr>
              <w:divsChild>
                <w:div w:id="1281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0730">
      <w:bodyDiv w:val="1"/>
      <w:marLeft w:val="0"/>
      <w:marRight w:val="0"/>
      <w:marTop w:val="0"/>
      <w:marBottom w:val="0"/>
      <w:divBdr>
        <w:top w:val="none" w:sz="0" w:space="0" w:color="auto"/>
        <w:left w:val="none" w:sz="0" w:space="0" w:color="auto"/>
        <w:bottom w:val="none" w:sz="0" w:space="0" w:color="auto"/>
        <w:right w:val="none" w:sz="0" w:space="0" w:color="auto"/>
      </w:divBdr>
      <w:divsChild>
        <w:div w:id="798180517">
          <w:marLeft w:val="0"/>
          <w:marRight w:val="0"/>
          <w:marTop w:val="0"/>
          <w:marBottom w:val="0"/>
          <w:divBdr>
            <w:top w:val="none" w:sz="0" w:space="0" w:color="auto"/>
            <w:left w:val="none" w:sz="0" w:space="0" w:color="auto"/>
            <w:bottom w:val="none" w:sz="0" w:space="0" w:color="auto"/>
            <w:right w:val="none" w:sz="0" w:space="0" w:color="auto"/>
          </w:divBdr>
          <w:divsChild>
            <w:div w:id="370961517">
              <w:marLeft w:val="0"/>
              <w:marRight w:val="0"/>
              <w:marTop w:val="0"/>
              <w:marBottom w:val="0"/>
              <w:divBdr>
                <w:top w:val="none" w:sz="0" w:space="0" w:color="auto"/>
                <w:left w:val="none" w:sz="0" w:space="0" w:color="auto"/>
                <w:bottom w:val="none" w:sz="0" w:space="0" w:color="auto"/>
                <w:right w:val="none" w:sz="0" w:space="0" w:color="auto"/>
              </w:divBdr>
              <w:divsChild>
                <w:div w:id="12448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23559">
      <w:bodyDiv w:val="1"/>
      <w:marLeft w:val="0"/>
      <w:marRight w:val="0"/>
      <w:marTop w:val="0"/>
      <w:marBottom w:val="0"/>
      <w:divBdr>
        <w:top w:val="none" w:sz="0" w:space="0" w:color="auto"/>
        <w:left w:val="none" w:sz="0" w:space="0" w:color="auto"/>
        <w:bottom w:val="none" w:sz="0" w:space="0" w:color="auto"/>
        <w:right w:val="none" w:sz="0" w:space="0" w:color="auto"/>
      </w:divBdr>
    </w:div>
    <w:div w:id="261230192">
      <w:bodyDiv w:val="1"/>
      <w:marLeft w:val="0"/>
      <w:marRight w:val="0"/>
      <w:marTop w:val="0"/>
      <w:marBottom w:val="0"/>
      <w:divBdr>
        <w:top w:val="none" w:sz="0" w:space="0" w:color="auto"/>
        <w:left w:val="none" w:sz="0" w:space="0" w:color="auto"/>
        <w:bottom w:val="none" w:sz="0" w:space="0" w:color="auto"/>
        <w:right w:val="none" w:sz="0" w:space="0" w:color="auto"/>
      </w:divBdr>
    </w:div>
    <w:div w:id="306280608">
      <w:bodyDiv w:val="1"/>
      <w:marLeft w:val="0"/>
      <w:marRight w:val="0"/>
      <w:marTop w:val="0"/>
      <w:marBottom w:val="0"/>
      <w:divBdr>
        <w:top w:val="none" w:sz="0" w:space="0" w:color="auto"/>
        <w:left w:val="none" w:sz="0" w:space="0" w:color="auto"/>
        <w:bottom w:val="none" w:sz="0" w:space="0" w:color="auto"/>
        <w:right w:val="none" w:sz="0" w:space="0" w:color="auto"/>
      </w:divBdr>
    </w:div>
    <w:div w:id="309019369">
      <w:bodyDiv w:val="1"/>
      <w:marLeft w:val="0"/>
      <w:marRight w:val="0"/>
      <w:marTop w:val="0"/>
      <w:marBottom w:val="0"/>
      <w:divBdr>
        <w:top w:val="none" w:sz="0" w:space="0" w:color="auto"/>
        <w:left w:val="none" w:sz="0" w:space="0" w:color="auto"/>
        <w:bottom w:val="none" w:sz="0" w:space="0" w:color="auto"/>
        <w:right w:val="none" w:sz="0" w:space="0" w:color="auto"/>
      </w:divBdr>
      <w:divsChild>
        <w:div w:id="1401560420">
          <w:marLeft w:val="2400"/>
          <w:marRight w:val="0"/>
          <w:marTop w:val="0"/>
          <w:marBottom w:val="0"/>
          <w:divBdr>
            <w:top w:val="single" w:sz="6" w:space="12" w:color="A7D7F9"/>
            <w:left w:val="single" w:sz="6" w:space="12" w:color="A7D7F9"/>
            <w:bottom w:val="single" w:sz="6" w:space="12" w:color="A7D7F9"/>
            <w:right w:val="single" w:sz="2" w:space="12" w:color="A7D7F9"/>
          </w:divBdr>
          <w:divsChild>
            <w:div w:id="63525445">
              <w:marLeft w:val="0"/>
              <w:marRight w:val="0"/>
              <w:marTop w:val="0"/>
              <w:marBottom w:val="0"/>
              <w:divBdr>
                <w:top w:val="none" w:sz="0" w:space="0" w:color="auto"/>
                <w:left w:val="none" w:sz="0" w:space="0" w:color="auto"/>
                <w:bottom w:val="none" w:sz="0" w:space="0" w:color="auto"/>
                <w:right w:val="none" w:sz="0" w:space="0" w:color="auto"/>
              </w:divBdr>
              <w:divsChild>
                <w:div w:id="227348371">
                  <w:marLeft w:val="0"/>
                  <w:marRight w:val="0"/>
                  <w:marTop w:val="0"/>
                  <w:marBottom w:val="0"/>
                  <w:divBdr>
                    <w:top w:val="none" w:sz="0" w:space="0" w:color="auto"/>
                    <w:left w:val="none" w:sz="0" w:space="0" w:color="auto"/>
                    <w:bottom w:val="none" w:sz="0" w:space="0" w:color="auto"/>
                    <w:right w:val="none" w:sz="0" w:space="0" w:color="auto"/>
                  </w:divBdr>
                  <w:divsChild>
                    <w:div w:id="1098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069768">
      <w:bodyDiv w:val="1"/>
      <w:marLeft w:val="0"/>
      <w:marRight w:val="0"/>
      <w:marTop w:val="0"/>
      <w:marBottom w:val="0"/>
      <w:divBdr>
        <w:top w:val="none" w:sz="0" w:space="0" w:color="auto"/>
        <w:left w:val="none" w:sz="0" w:space="0" w:color="auto"/>
        <w:bottom w:val="none" w:sz="0" w:space="0" w:color="auto"/>
        <w:right w:val="none" w:sz="0" w:space="0" w:color="auto"/>
      </w:divBdr>
      <w:divsChild>
        <w:div w:id="1429697678">
          <w:marLeft w:val="0"/>
          <w:marRight w:val="0"/>
          <w:marTop w:val="0"/>
          <w:marBottom w:val="0"/>
          <w:divBdr>
            <w:top w:val="none" w:sz="0" w:space="0" w:color="auto"/>
            <w:left w:val="none" w:sz="0" w:space="0" w:color="auto"/>
            <w:bottom w:val="none" w:sz="0" w:space="0" w:color="auto"/>
            <w:right w:val="none" w:sz="0" w:space="0" w:color="auto"/>
          </w:divBdr>
          <w:divsChild>
            <w:div w:id="1696076133">
              <w:marLeft w:val="0"/>
              <w:marRight w:val="0"/>
              <w:marTop w:val="0"/>
              <w:marBottom w:val="0"/>
              <w:divBdr>
                <w:top w:val="none" w:sz="0" w:space="0" w:color="auto"/>
                <w:left w:val="none" w:sz="0" w:space="0" w:color="auto"/>
                <w:bottom w:val="none" w:sz="0" w:space="0" w:color="auto"/>
                <w:right w:val="none" w:sz="0" w:space="0" w:color="auto"/>
              </w:divBdr>
              <w:divsChild>
                <w:div w:id="4508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90025">
      <w:bodyDiv w:val="1"/>
      <w:marLeft w:val="0"/>
      <w:marRight w:val="0"/>
      <w:marTop w:val="0"/>
      <w:marBottom w:val="0"/>
      <w:divBdr>
        <w:top w:val="none" w:sz="0" w:space="0" w:color="auto"/>
        <w:left w:val="none" w:sz="0" w:space="0" w:color="auto"/>
        <w:bottom w:val="none" w:sz="0" w:space="0" w:color="auto"/>
        <w:right w:val="none" w:sz="0" w:space="0" w:color="auto"/>
      </w:divBdr>
    </w:div>
    <w:div w:id="365910853">
      <w:bodyDiv w:val="1"/>
      <w:marLeft w:val="0"/>
      <w:marRight w:val="0"/>
      <w:marTop w:val="0"/>
      <w:marBottom w:val="0"/>
      <w:divBdr>
        <w:top w:val="none" w:sz="0" w:space="0" w:color="auto"/>
        <w:left w:val="none" w:sz="0" w:space="0" w:color="auto"/>
        <w:bottom w:val="none" w:sz="0" w:space="0" w:color="auto"/>
        <w:right w:val="none" w:sz="0" w:space="0" w:color="auto"/>
      </w:divBdr>
    </w:div>
    <w:div w:id="373777894">
      <w:bodyDiv w:val="1"/>
      <w:marLeft w:val="0"/>
      <w:marRight w:val="0"/>
      <w:marTop w:val="0"/>
      <w:marBottom w:val="0"/>
      <w:divBdr>
        <w:top w:val="none" w:sz="0" w:space="0" w:color="auto"/>
        <w:left w:val="none" w:sz="0" w:space="0" w:color="auto"/>
        <w:bottom w:val="none" w:sz="0" w:space="0" w:color="auto"/>
        <w:right w:val="none" w:sz="0" w:space="0" w:color="auto"/>
      </w:divBdr>
    </w:div>
    <w:div w:id="375280770">
      <w:bodyDiv w:val="1"/>
      <w:marLeft w:val="0"/>
      <w:marRight w:val="0"/>
      <w:marTop w:val="0"/>
      <w:marBottom w:val="0"/>
      <w:divBdr>
        <w:top w:val="none" w:sz="0" w:space="0" w:color="auto"/>
        <w:left w:val="none" w:sz="0" w:space="0" w:color="auto"/>
        <w:bottom w:val="none" w:sz="0" w:space="0" w:color="auto"/>
        <w:right w:val="none" w:sz="0" w:space="0" w:color="auto"/>
      </w:divBdr>
      <w:divsChild>
        <w:div w:id="1618173922">
          <w:marLeft w:val="0"/>
          <w:marRight w:val="0"/>
          <w:marTop w:val="0"/>
          <w:marBottom w:val="0"/>
          <w:divBdr>
            <w:top w:val="none" w:sz="0" w:space="0" w:color="auto"/>
            <w:left w:val="none" w:sz="0" w:space="0" w:color="auto"/>
            <w:bottom w:val="none" w:sz="0" w:space="0" w:color="auto"/>
            <w:right w:val="none" w:sz="0" w:space="0" w:color="auto"/>
          </w:divBdr>
          <w:divsChild>
            <w:div w:id="1122308523">
              <w:marLeft w:val="0"/>
              <w:marRight w:val="0"/>
              <w:marTop w:val="0"/>
              <w:marBottom w:val="0"/>
              <w:divBdr>
                <w:top w:val="none" w:sz="0" w:space="0" w:color="auto"/>
                <w:left w:val="none" w:sz="0" w:space="0" w:color="auto"/>
                <w:bottom w:val="none" w:sz="0" w:space="0" w:color="auto"/>
                <w:right w:val="none" w:sz="0" w:space="0" w:color="auto"/>
              </w:divBdr>
              <w:divsChild>
                <w:div w:id="3771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257958">
      <w:bodyDiv w:val="1"/>
      <w:marLeft w:val="0"/>
      <w:marRight w:val="0"/>
      <w:marTop w:val="0"/>
      <w:marBottom w:val="0"/>
      <w:divBdr>
        <w:top w:val="none" w:sz="0" w:space="0" w:color="auto"/>
        <w:left w:val="none" w:sz="0" w:space="0" w:color="auto"/>
        <w:bottom w:val="none" w:sz="0" w:space="0" w:color="auto"/>
        <w:right w:val="none" w:sz="0" w:space="0" w:color="auto"/>
      </w:divBdr>
      <w:divsChild>
        <w:div w:id="1589775078">
          <w:marLeft w:val="0"/>
          <w:marRight w:val="0"/>
          <w:marTop w:val="0"/>
          <w:marBottom w:val="0"/>
          <w:divBdr>
            <w:top w:val="none" w:sz="0" w:space="0" w:color="auto"/>
            <w:left w:val="none" w:sz="0" w:space="0" w:color="auto"/>
            <w:bottom w:val="none" w:sz="0" w:space="0" w:color="auto"/>
            <w:right w:val="none" w:sz="0" w:space="0" w:color="auto"/>
          </w:divBdr>
          <w:divsChild>
            <w:div w:id="1696535682">
              <w:marLeft w:val="0"/>
              <w:marRight w:val="0"/>
              <w:marTop w:val="0"/>
              <w:marBottom w:val="0"/>
              <w:divBdr>
                <w:top w:val="none" w:sz="0" w:space="0" w:color="auto"/>
                <w:left w:val="none" w:sz="0" w:space="0" w:color="auto"/>
                <w:bottom w:val="none" w:sz="0" w:space="0" w:color="auto"/>
                <w:right w:val="none" w:sz="0" w:space="0" w:color="auto"/>
              </w:divBdr>
              <w:divsChild>
                <w:div w:id="9750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44700">
      <w:bodyDiv w:val="1"/>
      <w:marLeft w:val="0"/>
      <w:marRight w:val="0"/>
      <w:marTop w:val="0"/>
      <w:marBottom w:val="0"/>
      <w:divBdr>
        <w:top w:val="none" w:sz="0" w:space="0" w:color="auto"/>
        <w:left w:val="none" w:sz="0" w:space="0" w:color="auto"/>
        <w:bottom w:val="none" w:sz="0" w:space="0" w:color="auto"/>
        <w:right w:val="none" w:sz="0" w:space="0" w:color="auto"/>
      </w:divBdr>
    </w:div>
    <w:div w:id="419983722">
      <w:bodyDiv w:val="1"/>
      <w:marLeft w:val="0"/>
      <w:marRight w:val="0"/>
      <w:marTop w:val="0"/>
      <w:marBottom w:val="0"/>
      <w:divBdr>
        <w:top w:val="none" w:sz="0" w:space="0" w:color="auto"/>
        <w:left w:val="none" w:sz="0" w:space="0" w:color="auto"/>
        <w:bottom w:val="none" w:sz="0" w:space="0" w:color="auto"/>
        <w:right w:val="none" w:sz="0" w:space="0" w:color="auto"/>
      </w:divBdr>
    </w:div>
    <w:div w:id="426922863">
      <w:bodyDiv w:val="1"/>
      <w:marLeft w:val="0"/>
      <w:marRight w:val="0"/>
      <w:marTop w:val="0"/>
      <w:marBottom w:val="0"/>
      <w:divBdr>
        <w:top w:val="none" w:sz="0" w:space="0" w:color="auto"/>
        <w:left w:val="none" w:sz="0" w:space="0" w:color="auto"/>
        <w:bottom w:val="none" w:sz="0" w:space="0" w:color="auto"/>
        <w:right w:val="none" w:sz="0" w:space="0" w:color="auto"/>
      </w:divBdr>
    </w:div>
    <w:div w:id="446579586">
      <w:bodyDiv w:val="1"/>
      <w:marLeft w:val="0"/>
      <w:marRight w:val="0"/>
      <w:marTop w:val="0"/>
      <w:marBottom w:val="0"/>
      <w:divBdr>
        <w:top w:val="none" w:sz="0" w:space="0" w:color="auto"/>
        <w:left w:val="none" w:sz="0" w:space="0" w:color="auto"/>
        <w:bottom w:val="none" w:sz="0" w:space="0" w:color="auto"/>
        <w:right w:val="none" w:sz="0" w:space="0" w:color="auto"/>
      </w:divBdr>
    </w:div>
    <w:div w:id="477456785">
      <w:bodyDiv w:val="1"/>
      <w:marLeft w:val="0"/>
      <w:marRight w:val="0"/>
      <w:marTop w:val="0"/>
      <w:marBottom w:val="0"/>
      <w:divBdr>
        <w:top w:val="none" w:sz="0" w:space="0" w:color="auto"/>
        <w:left w:val="none" w:sz="0" w:space="0" w:color="auto"/>
        <w:bottom w:val="none" w:sz="0" w:space="0" w:color="auto"/>
        <w:right w:val="none" w:sz="0" w:space="0" w:color="auto"/>
      </w:divBdr>
      <w:divsChild>
        <w:div w:id="149104160">
          <w:marLeft w:val="0"/>
          <w:marRight w:val="0"/>
          <w:marTop w:val="0"/>
          <w:marBottom w:val="0"/>
          <w:divBdr>
            <w:top w:val="none" w:sz="0" w:space="0" w:color="auto"/>
            <w:left w:val="none" w:sz="0" w:space="0" w:color="auto"/>
            <w:bottom w:val="none" w:sz="0" w:space="0" w:color="auto"/>
            <w:right w:val="none" w:sz="0" w:space="0" w:color="auto"/>
          </w:divBdr>
          <w:divsChild>
            <w:div w:id="711077134">
              <w:marLeft w:val="0"/>
              <w:marRight w:val="0"/>
              <w:marTop w:val="0"/>
              <w:marBottom w:val="0"/>
              <w:divBdr>
                <w:top w:val="none" w:sz="0" w:space="0" w:color="auto"/>
                <w:left w:val="none" w:sz="0" w:space="0" w:color="auto"/>
                <w:bottom w:val="none" w:sz="0" w:space="0" w:color="auto"/>
                <w:right w:val="none" w:sz="0" w:space="0" w:color="auto"/>
              </w:divBdr>
              <w:divsChild>
                <w:div w:id="12746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198554">
      <w:bodyDiv w:val="1"/>
      <w:marLeft w:val="0"/>
      <w:marRight w:val="0"/>
      <w:marTop w:val="0"/>
      <w:marBottom w:val="0"/>
      <w:divBdr>
        <w:top w:val="none" w:sz="0" w:space="0" w:color="auto"/>
        <w:left w:val="none" w:sz="0" w:space="0" w:color="auto"/>
        <w:bottom w:val="none" w:sz="0" w:space="0" w:color="auto"/>
        <w:right w:val="none" w:sz="0" w:space="0" w:color="auto"/>
      </w:divBdr>
      <w:divsChild>
        <w:div w:id="2078430942">
          <w:marLeft w:val="0"/>
          <w:marRight w:val="0"/>
          <w:marTop w:val="0"/>
          <w:marBottom w:val="0"/>
          <w:divBdr>
            <w:top w:val="none" w:sz="0" w:space="0" w:color="auto"/>
            <w:left w:val="none" w:sz="0" w:space="0" w:color="auto"/>
            <w:bottom w:val="none" w:sz="0" w:space="0" w:color="auto"/>
            <w:right w:val="none" w:sz="0" w:space="0" w:color="auto"/>
          </w:divBdr>
          <w:divsChild>
            <w:div w:id="824974004">
              <w:marLeft w:val="0"/>
              <w:marRight w:val="0"/>
              <w:marTop w:val="0"/>
              <w:marBottom w:val="0"/>
              <w:divBdr>
                <w:top w:val="none" w:sz="0" w:space="0" w:color="auto"/>
                <w:left w:val="none" w:sz="0" w:space="0" w:color="auto"/>
                <w:bottom w:val="none" w:sz="0" w:space="0" w:color="auto"/>
                <w:right w:val="none" w:sz="0" w:space="0" w:color="auto"/>
              </w:divBdr>
              <w:divsChild>
                <w:div w:id="7723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98569">
      <w:bodyDiv w:val="1"/>
      <w:marLeft w:val="0"/>
      <w:marRight w:val="0"/>
      <w:marTop w:val="0"/>
      <w:marBottom w:val="0"/>
      <w:divBdr>
        <w:top w:val="none" w:sz="0" w:space="0" w:color="auto"/>
        <w:left w:val="none" w:sz="0" w:space="0" w:color="auto"/>
        <w:bottom w:val="none" w:sz="0" w:space="0" w:color="auto"/>
        <w:right w:val="none" w:sz="0" w:space="0" w:color="auto"/>
      </w:divBdr>
    </w:div>
    <w:div w:id="515117607">
      <w:bodyDiv w:val="1"/>
      <w:marLeft w:val="0"/>
      <w:marRight w:val="0"/>
      <w:marTop w:val="0"/>
      <w:marBottom w:val="0"/>
      <w:divBdr>
        <w:top w:val="none" w:sz="0" w:space="0" w:color="auto"/>
        <w:left w:val="none" w:sz="0" w:space="0" w:color="auto"/>
        <w:bottom w:val="none" w:sz="0" w:space="0" w:color="auto"/>
        <w:right w:val="none" w:sz="0" w:space="0" w:color="auto"/>
      </w:divBdr>
    </w:div>
    <w:div w:id="530263174">
      <w:bodyDiv w:val="1"/>
      <w:marLeft w:val="0"/>
      <w:marRight w:val="0"/>
      <w:marTop w:val="0"/>
      <w:marBottom w:val="0"/>
      <w:divBdr>
        <w:top w:val="none" w:sz="0" w:space="0" w:color="auto"/>
        <w:left w:val="none" w:sz="0" w:space="0" w:color="auto"/>
        <w:bottom w:val="none" w:sz="0" w:space="0" w:color="auto"/>
        <w:right w:val="none" w:sz="0" w:space="0" w:color="auto"/>
      </w:divBdr>
    </w:div>
    <w:div w:id="531915852">
      <w:bodyDiv w:val="1"/>
      <w:marLeft w:val="0"/>
      <w:marRight w:val="0"/>
      <w:marTop w:val="0"/>
      <w:marBottom w:val="0"/>
      <w:divBdr>
        <w:top w:val="none" w:sz="0" w:space="0" w:color="auto"/>
        <w:left w:val="none" w:sz="0" w:space="0" w:color="auto"/>
        <w:bottom w:val="none" w:sz="0" w:space="0" w:color="auto"/>
        <w:right w:val="none" w:sz="0" w:space="0" w:color="auto"/>
      </w:divBdr>
    </w:div>
    <w:div w:id="542522962">
      <w:bodyDiv w:val="1"/>
      <w:marLeft w:val="0"/>
      <w:marRight w:val="0"/>
      <w:marTop w:val="0"/>
      <w:marBottom w:val="0"/>
      <w:divBdr>
        <w:top w:val="none" w:sz="0" w:space="0" w:color="auto"/>
        <w:left w:val="none" w:sz="0" w:space="0" w:color="auto"/>
        <w:bottom w:val="none" w:sz="0" w:space="0" w:color="auto"/>
        <w:right w:val="none" w:sz="0" w:space="0" w:color="auto"/>
      </w:divBdr>
    </w:div>
    <w:div w:id="545987242">
      <w:bodyDiv w:val="1"/>
      <w:marLeft w:val="0"/>
      <w:marRight w:val="0"/>
      <w:marTop w:val="0"/>
      <w:marBottom w:val="0"/>
      <w:divBdr>
        <w:top w:val="none" w:sz="0" w:space="0" w:color="auto"/>
        <w:left w:val="none" w:sz="0" w:space="0" w:color="auto"/>
        <w:bottom w:val="none" w:sz="0" w:space="0" w:color="auto"/>
        <w:right w:val="none" w:sz="0" w:space="0" w:color="auto"/>
      </w:divBdr>
    </w:div>
    <w:div w:id="557209584">
      <w:bodyDiv w:val="1"/>
      <w:marLeft w:val="0"/>
      <w:marRight w:val="0"/>
      <w:marTop w:val="0"/>
      <w:marBottom w:val="0"/>
      <w:divBdr>
        <w:top w:val="none" w:sz="0" w:space="0" w:color="auto"/>
        <w:left w:val="none" w:sz="0" w:space="0" w:color="auto"/>
        <w:bottom w:val="none" w:sz="0" w:space="0" w:color="auto"/>
        <w:right w:val="none" w:sz="0" w:space="0" w:color="auto"/>
      </w:divBdr>
    </w:div>
    <w:div w:id="559824792">
      <w:bodyDiv w:val="1"/>
      <w:marLeft w:val="0"/>
      <w:marRight w:val="0"/>
      <w:marTop w:val="0"/>
      <w:marBottom w:val="0"/>
      <w:divBdr>
        <w:top w:val="none" w:sz="0" w:space="0" w:color="auto"/>
        <w:left w:val="none" w:sz="0" w:space="0" w:color="auto"/>
        <w:bottom w:val="none" w:sz="0" w:space="0" w:color="auto"/>
        <w:right w:val="none" w:sz="0" w:space="0" w:color="auto"/>
      </w:divBdr>
    </w:div>
    <w:div w:id="608467450">
      <w:bodyDiv w:val="1"/>
      <w:marLeft w:val="0"/>
      <w:marRight w:val="0"/>
      <w:marTop w:val="0"/>
      <w:marBottom w:val="0"/>
      <w:divBdr>
        <w:top w:val="none" w:sz="0" w:space="0" w:color="auto"/>
        <w:left w:val="none" w:sz="0" w:space="0" w:color="auto"/>
        <w:bottom w:val="none" w:sz="0" w:space="0" w:color="auto"/>
        <w:right w:val="none" w:sz="0" w:space="0" w:color="auto"/>
      </w:divBdr>
    </w:div>
    <w:div w:id="608706673">
      <w:bodyDiv w:val="1"/>
      <w:marLeft w:val="0"/>
      <w:marRight w:val="0"/>
      <w:marTop w:val="0"/>
      <w:marBottom w:val="0"/>
      <w:divBdr>
        <w:top w:val="none" w:sz="0" w:space="0" w:color="auto"/>
        <w:left w:val="none" w:sz="0" w:space="0" w:color="auto"/>
        <w:bottom w:val="none" w:sz="0" w:space="0" w:color="auto"/>
        <w:right w:val="none" w:sz="0" w:space="0" w:color="auto"/>
      </w:divBdr>
    </w:div>
    <w:div w:id="609092149">
      <w:bodyDiv w:val="1"/>
      <w:marLeft w:val="0"/>
      <w:marRight w:val="0"/>
      <w:marTop w:val="0"/>
      <w:marBottom w:val="0"/>
      <w:divBdr>
        <w:top w:val="none" w:sz="0" w:space="0" w:color="auto"/>
        <w:left w:val="none" w:sz="0" w:space="0" w:color="auto"/>
        <w:bottom w:val="none" w:sz="0" w:space="0" w:color="auto"/>
        <w:right w:val="none" w:sz="0" w:space="0" w:color="auto"/>
      </w:divBdr>
      <w:divsChild>
        <w:div w:id="487282848">
          <w:marLeft w:val="0"/>
          <w:marRight w:val="0"/>
          <w:marTop w:val="0"/>
          <w:marBottom w:val="0"/>
          <w:divBdr>
            <w:top w:val="none" w:sz="0" w:space="0" w:color="auto"/>
            <w:left w:val="none" w:sz="0" w:space="0" w:color="auto"/>
            <w:bottom w:val="none" w:sz="0" w:space="0" w:color="auto"/>
            <w:right w:val="none" w:sz="0" w:space="0" w:color="auto"/>
          </w:divBdr>
          <w:divsChild>
            <w:div w:id="363142403">
              <w:marLeft w:val="0"/>
              <w:marRight w:val="0"/>
              <w:marTop w:val="0"/>
              <w:marBottom w:val="0"/>
              <w:divBdr>
                <w:top w:val="none" w:sz="0" w:space="0" w:color="auto"/>
                <w:left w:val="none" w:sz="0" w:space="0" w:color="auto"/>
                <w:bottom w:val="none" w:sz="0" w:space="0" w:color="auto"/>
                <w:right w:val="none" w:sz="0" w:space="0" w:color="auto"/>
              </w:divBdr>
              <w:divsChild>
                <w:div w:id="3259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261">
      <w:bodyDiv w:val="1"/>
      <w:marLeft w:val="0"/>
      <w:marRight w:val="0"/>
      <w:marTop w:val="0"/>
      <w:marBottom w:val="0"/>
      <w:divBdr>
        <w:top w:val="none" w:sz="0" w:space="0" w:color="auto"/>
        <w:left w:val="none" w:sz="0" w:space="0" w:color="auto"/>
        <w:bottom w:val="none" w:sz="0" w:space="0" w:color="auto"/>
        <w:right w:val="none" w:sz="0" w:space="0" w:color="auto"/>
      </w:divBdr>
      <w:divsChild>
        <w:div w:id="2053187371">
          <w:marLeft w:val="0"/>
          <w:marRight w:val="0"/>
          <w:marTop w:val="0"/>
          <w:marBottom w:val="0"/>
          <w:divBdr>
            <w:top w:val="none" w:sz="0" w:space="0" w:color="auto"/>
            <w:left w:val="none" w:sz="0" w:space="0" w:color="auto"/>
            <w:bottom w:val="none" w:sz="0" w:space="0" w:color="auto"/>
            <w:right w:val="none" w:sz="0" w:space="0" w:color="auto"/>
          </w:divBdr>
          <w:divsChild>
            <w:div w:id="1995254326">
              <w:marLeft w:val="0"/>
              <w:marRight w:val="0"/>
              <w:marTop w:val="0"/>
              <w:marBottom w:val="0"/>
              <w:divBdr>
                <w:top w:val="none" w:sz="0" w:space="0" w:color="auto"/>
                <w:left w:val="none" w:sz="0" w:space="0" w:color="auto"/>
                <w:bottom w:val="none" w:sz="0" w:space="0" w:color="auto"/>
                <w:right w:val="none" w:sz="0" w:space="0" w:color="auto"/>
              </w:divBdr>
              <w:divsChild>
                <w:div w:id="3247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4795">
      <w:bodyDiv w:val="1"/>
      <w:marLeft w:val="0"/>
      <w:marRight w:val="0"/>
      <w:marTop w:val="0"/>
      <w:marBottom w:val="0"/>
      <w:divBdr>
        <w:top w:val="none" w:sz="0" w:space="0" w:color="auto"/>
        <w:left w:val="none" w:sz="0" w:space="0" w:color="auto"/>
        <w:bottom w:val="none" w:sz="0" w:space="0" w:color="auto"/>
        <w:right w:val="none" w:sz="0" w:space="0" w:color="auto"/>
      </w:divBdr>
    </w:div>
    <w:div w:id="648368899">
      <w:bodyDiv w:val="1"/>
      <w:marLeft w:val="0"/>
      <w:marRight w:val="0"/>
      <w:marTop w:val="0"/>
      <w:marBottom w:val="0"/>
      <w:divBdr>
        <w:top w:val="none" w:sz="0" w:space="0" w:color="auto"/>
        <w:left w:val="none" w:sz="0" w:space="0" w:color="auto"/>
        <w:bottom w:val="none" w:sz="0" w:space="0" w:color="auto"/>
        <w:right w:val="none" w:sz="0" w:space="0" w:color="auto"/>
      </w:divBdr>
    </w:div>
    <w:div w:id="652491432">
      <w:bodyDiv w:val="1"/>
      <w:marLeft w:val="0"/>
      <w:marRight w:val="0"/>
      <w:marTop w:val="0"/>
      <w:marBottom w:val="0"/>
      <w:divBdr>
        <w:top w:val="none" w:sz="0" w:space="0" w:color="auto"/>
        <w:left w:val="none" w:sz="0" w:space="0" w:color="auto"/>
        <w:bottom w:val="none" w:sz="0" w:space="0" w:color="auto"/>
        <w:right w:val="none" w:sz="0" w:space="0" w:color="auto"/>
      </w:divBdr>
    </w:div>
    <w:div w:id="662657830">
      <w:bodyDiv w:val="1"/>
      <w:marLeft w:val="0"/>
      <w:marRight w:val="0"/>
      <w:marTop w:val="0"/>
      <w:marBottom w:val="0"/>
      <w:divBdr>
        <w:top w:val="none" w:sz="0" w:space="0" w:color="auto"/>
        <w:left w:val="none" w:sz="0" w:space="0" w:color="auto"/>
        <w:bottom w:val="none" w:sz="0" w:space="0" w:color="auto"/>
        <w:right w:val="none" w:sz="0" w:space="0" w:color="auto"/>
      </w:divBdr>
    </w:div>
    <w:div w:id="671027245">
      <w:bodyDiv w:val="1"/>
      <w:marLeft w:val="0"/>
      <w:marRight w:val="0"/>
      <w:marTop w:val="0"/>
      <w:marBottom w:val="0"/>
      <w:divBdr>
        <w:top w:val="none" w:sz="0" w:space="0" w:color="auto"/>
        <w:left w:val="none" w:sz="0" w:space="0" w:color="auto"/>
        <w:bottom w:val="none" w:sz="0" w:space="0" w:color="auto"/>
        <w:right w:val="none" w:sz="0" w:space="0" w:color="auto"/>
      </w:divBdr>
      <w:divsChild>
        <w:div w:id="1541279369">
          <w:marLeft w:val="0"/>
          <w:marRight w:val="0"/>
          <w:marTop w:val="0"/>
          <w:marBottom w:val="0"/>
          <w:divBdr>
            <w:top w:val="none" w:sz="0" w:space="0" w:color="auto"/>
            <w:left w:val="none" w:sz="0" w:space="0" w:color="auto"/>
            <w:bottom w:val="none" w:sz="0" w:space="0" w:color="auto"/>
            <w:right w:val="none" w:sz="0" w:space="0" w:color="auto"/>
          </w:divBdr>
        </w:div>
      </w:divsChild>
    </w:div>
    <w:div w:id="698314601">
      <w:bodyDiv w:val="1"/>
      <w:marLeft w:val="0"/>
      <w:marRight w:val="0"/>
      <w:marTop w:val="0"/>
      <w:marBottom w:val="0"/>
      <w:divBdr>
        <w:top w:val="none" w:sz="0" w:space="0" w:color="auto"/>
        <w:left w:val="none" w:sz="0" w:space="0" w:color="auto"/>
        <w:bottom w:val="none" w:sz="0" w:space="0" w:color="auto"/>
        <w:right w:val="none" w:sz="0" w:space="0" w:color="auto"/>
      </w:divBdr>
      <w:divsChild>
        <w:div w:id="1073510212">
          <w:marLeft w:val="0"/>
          <w:marRight w:val="0"/>
          <w:marTop w:val="0"/>
          <w:marBottom w:val="0"/>
          <w:divBdr>
            <w:top w:val="none" w:sz="0" w:space="0" w:color="auto"/>
            <w:left w:val="none" w:sz="0" w:space="0" w:color="auto"/>
            <w:bottom w:val="none" w:sz="0" w:space="0" w:color="auto"/>
            <w:right w:val="none" w:sz="0" w:space="0" w:color="auto"/>
          </w:divBdr>
          <w:divsChild>
            <w:div w:id="390157433">
              <w:marLeft w:val="0"/>
              <w:marRight w:val="0"/>
              <w:marTop w:val="0"/>
              <w:marBottom w:val="0"/>
              <w:divBdr>
                <w:top w:val="none" w:sz="0" w:space="0" w:color="auto"/>
                <w:left w:val="none" w:sz="0" w:space="0" w:color="auto"/>
                <w:bottom w:val="none" w:sz="0" w:space="0" w:color="auto"/>
                <w:right w:val="none" w:sz="0" w:space="0" w:color="auto"/>
              </w:divBdr>
              <w:divsChild>
                <w:div w:id="14693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30433">
      <w:bodyDiv w:val="1"/>
      <w:marLeft w:val="0"/>
      <w:marRight w:val="0"/>
      <w:marTop w:val="0"/>
      <w:marBottom w:val="0"/>
      <w:divBdr>
        <w:top w:val="none" w:sz="0" w:space="0" w:color="auto"/>
        <w:left w:val="none" w:sz="0" w:space="0" w:color="auto"/>
        <w:bottom w:val="none" w:sz="0" w:space="0" w:color="auto"/>
        <w:right w:val="none" w:sz="0" w:space="0" w:color="auto"/>
      </w:divBdr>
    </w:div>
    <w:div w:id="736056861">
      <w:bodyDiv w:val="1"/>
      <w:marLeft w:val="0"/>
      <w:marRight w:val="0"/>
      <w:marTop w:val="0"/>
      <w:marBottom w:val="0"/>
      <w:divBdr>
        <w:top w:val="none" w:sz="0" w:space="0" w:color="auto"/>
        <w:left w:val="none" w:sz="0" w:space="0" w:color="auto"/>
        <w:bottom w:val="none" w:sz="0" w:space="0" w:color="auto"/>
        <w:right w:val="none" w:sz="0" w:space="0" w:color="auto"/>
      </w:divBdr>
    </w:div>
    <w:div w:id="753893103">
      <w:bodyDiv w:val="1"/>
      <w:marLeft w:val="0"/>
      <w:marRight w:val="0"/>
      <w:marTop w:val="0"/>
      <w:marBottom w:val="0"/>
      <w:divBdr>
        <w:top w:val="none" w:sz="0" w:space="0" w:color="auto"/>
        <w:left w:val="none" w:sz="0" w:space="0" w:color="auto"/>
        <w:bottom w:val="none" w:sz="0" w:space="0" w:color="auto"/>
        <w:right w:val="none" w:sz="0" w:space="0" w:color="auto"/>
      </w:divBdr>
      <w:divsChild>
        <w:div w:id="1244416877">
          <w:marLeft w:val="0"/>
          <w:marRight w:val="0"/>
          <w:marTop w:val="0"/>
          <w:marBottom w:val="0"/>
          <w:divBdr>
            <w:top w:val="none" w:sz="0" w:space="0" w:color="auto"/>
            <w:left w:val="none" w:sz="0" w:space="0" w:color="auto"/>
            <w:bottom w:val="none" w:sz="0" w:space="0" w:color="auto"/>
            <w:right w:val="none" w:sz="0" w:space="0" w:color="auto"/>
          </w:divBdr>
          <w:divsChild>
            <w:div w:id="1967275494">
              <w:marLeft w:val="0"/>
              <w:marRight w:val="0"/>
              <w:marTop w:val="0"/>
              <w:marBottom w:val="0"/>
              <w:divBdr>
                <w:top w:val="none" w:sz="0" w:space="0" w:color="auto"/>
                <w:left w:val="none" w:sz="0" w:space="0" w:color="auto"/>
                <w:bottom w:val="none" w:sz="0" w:space="0" w:color="auto"/>
                <w:right w:val="none" w:sz="0" w:space="0" w:color="auto"/>
              </w:divBdr>
              <w:divsChild>
                <w:div w:id="11194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6269">
      <w:bodyDiv w:val="1"/>
      <w:marLeft w:val="0"/>
      <w:marRight w:val="0"/>
      <w:marTop w:val="0"/>
      <w:marBottom w:val="0"/>
      <w:divBdr>
        <w:top w:val="none" w:sz="0" w:space="0" w:color="auto"/>
        <w:left w:val="none" w:sz="0" w:space="0" w:color="auto"/>
        <w:bottom w:val="none" w:sz="0" w:space="0" w:color="auto"/>
        <w:right w:val="none" w:sz="0" w:space="0" w:color="auto"/>
      </w:divBdr>
      <w:divsChild>
        <w:div w:id="79640664">
          <w:marLeft w:val="0"/>
          <w:marRight w:val="0"/>
          <w:marTop w:val="0"/>
          <w:marBottom w:val="0"/>
          <w:divBdr>
            <w:top w:val="none" w:sz="0" w:space="0" w:color="auto"/>
            <w:left w:val="none" w:sz="0" w:space="0" w:color="auto"/>
            <w:bottom w:val="none" w:sz="0" w:space="0" w:color="auto"/>
            <w:right w:val="none" w:sz="0" w:space="0" w:color="auto"/>
          </w:divBdr>
          <w:divsChild>
            <w:div w:id="978268420">
              <w:marLeft w:val="0"/>
              <w:marRight w:val="0"/>
              <w:marTop w:val="0"/>
              <w:marBottom w:val="0"/>
              <w:divBdr>
                <w:top w:val="none" w:sz="0" w:space="0" w:color="auto"/>
                <w:left w:val="none" w:sz="0" w:space="0" w:color="auto"/>
                <w:bottom w:val="none" w:sz="0" w:space="0" w:color="auto"/>
                <w:right w:val="none" w:sz="0" w:space="0" w:color="auto"/>
              </w:divBdr>
              <w:divsChild>
                <w:div w:id="19639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27690">
      <w:bodyDiv w:val="1"/>
      <w:marLeft w:val="0"/>
      <w:marRight w:val="0"/>
      <w:marTop w:val="0"/>
      <w:marBottom w:val="0"/>
      <w:divBdr>
        <w:top w:val="none" w:sz="0" w:space="0" w:color="auto"/>
        <w:left w:val="none" w:sz="0" w:space="0" w:color="auto"/>
        <w:bottom w:val="none" w:sz="0" w:space="0" w:color="auto"/>
        <w:right w:val="none" w:sz="0" w:space="0" w:color="auto"/>
      </w:divBdr>
    </w:div>
    <w:div w:id="822625724">
      <w:bodyDiv w:val="1"/>
      <w:marLeft w:val="0"/>
      <w:marRight w:val="0"/>
      <w:marTop w:val="0"/>
      <w:marBottom w:val="0"/>
      <w:divBdr>
        <w:top w:val="none" w:sz="0" w:space="0" w:color="auto"/>
        <w:left w:val="none" w:sz="0" w:space="0" w:color="auto"/>
        <w:bottom w:val="none" w:sz="0" w:space="0" w:color="auto"/>
        <w:right w:val="none" w:sz="0" w:space="0" w:color="auto"/>
      </w:divBdr>
    </w:div>
    <w:div w:id="844170440">
      <w:bodyDiv w:val="1"/>
      <w:marLeft w:val="0"/>
      <w:marRight w:val="0"/>
      <w:marTop w:val="0"/>
      <w:marBottom w:val="0"/>
      <w:divBdr>
        <w:top w:val="none" w:sz="0" w:space="0" w:color="auto"/>
        <w:left w:val="none" w:sz="0" w:space="0" w:color="auto"/>
        <w:bottom w:val="none" w:sz="0" w:space="0" w:color="auto"/>
        <w:right w:val="none" w:sz="0" w:space="0" w:color="auto"/>
      </w:divBdr>
      <w:divsChild>
        <w:div w:id="965424850">
          <w:marLeft w:val="0"/>
          <w:marRight w:val="0"/>
          <w:marTop w:val="0"/>
          <w:marBottom w:val="0"/>
          <w:divBdr>
            <w:top w:val="none" w:sz="0" w:space="0" w:color="auto"/>
            <w:left w:val="none" w:sz="0" w:space="0" w:color="auto"/>
            <w:bottom w:val="none" w:sz="0" w:space="0" w:color="auto"/>
            <w:right w:val="none" w:sz="0" w:space="0" w:color="auto"/>
          </w:divBdr>
          <w:divsChild>
            <w:div w:id="1871646025">
              <w:marLeft w:val="0"/>
              <w:marRight w:val="0"/>
              <w:marTop w:val="0"/>
              <w:marBottom w:val="0"/>
              <w:divBdr>
                <w:top w:val="none" w:sz="0" w:space="0" w:color="auto"/>
                <w:left w:val="none" w:sz="0" w:space="0" w:color="auto"/>
                <w:bottom w:val="none" w:sz="0" w:space="0" w:color="auto"/>
                <w:right w:val="none" w:sz="0" w:space="0" w:color="auto"/>
              </w:divBdr>
              <w:divsChild>
                <w:div w:id="15785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04494">
      <w:bodyDiv w:val="1"/>
      <w:marLeft w:val="0"/>
      <w:marRight w:val="0"/>
      <w:marTop w:val="0"/>
      <w:marBottom w:val="0"/>
      <w:divBdr>
        <w:top w:val="none" w:sz="0" w:space="0" w:color="auto"/>
        <w:left w:val="none" w:sz="0" w:space="0" w:color="auto"/>
        <w:bottom w:val="none" w:sz="0" w:space="0" w:color="auto"/>
        <w:right w:val="none" w:sz="0" w:space="0" w:color="auto"/>
      </w:divBdr>
      <w:divsChild>
        <w:div w:id="1184782156">
          <w:marLeft w:val="0"/>
          <w:marRight w:val="0"/>
          <w:marTop w:val="0"/>
          <w:marBottom w:val="0"/>
          <w:divBdr>
            <w:top w:val="none" w:sz="0" w:space="0" w:color="auto"/>
            <w:left w:val="none" w:sz="0" w:space="0" w:color="auto"/>
            <w:bottom w:val="none" w:sz="0" w:space="0" w:color="auto"/>
            <w:right w:val="none" w:sz="0" w:space="0" w:color="auto"/>
          </w:divBdr>
          <w:divsChild>
            <w:div w:id="1728140616">
              <w:marLeft w:val="0"/>
              <w:marRight w:val="0"/>
              <w:marTop w:val="0"/>
              <w:marBottom w:val="0"/>
              <w:divBdr>
                <w:top w:val="none" w:sz="0" w:space="0" w:color="auto"/>
                <w:left w:val="none" w:sz="0" w:space="0" w:color="auto"/>
                <w:bottom w:val="none" w:sz="0" w:space="0" w:color="auto"/>
                <w:right w:val="none" w:sz="0" w:space="0" w:color="auto"/>
              </w:divBdr>
              <w:divsChild>
                <w:div w:id="21418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4945">
      <w:bodyDiv w:val="1"/>
      <w:marLeft w:val="0"/>
      <w:marRight w:val="0"/>
      <w:marTop w:val="0"/>
      <w:marBottom w:val="0"/>
      <w:divBdr>
        <w:top w:val="none" w:sz="0" w:space="0" w:color="auto"/>
        <w:left w:val="none" w:sz="0" w:space="0" w:color="auto"/>
        <w:bottom w:val="none" w:sz="0" w:space="0" w:color="auto"/>
        <w:right w:val="none" w:sz="0" w:space="0" w:color="auto"/>
      </w:divBdr>
    </w:div>
    <w:div w:id="888222546">
      <w:bodyDiv w:val="1"/>
      <w:marLeft w:val="0"/>
      <w:marRight w:val="0"/>
      <w:marTop w:val="0"/>
      <w:marBottom w:val="0"/>
      <w:divBdr>
        <w:top w:val="none" w:sz="0" w:space="0" w:color="auto"/>
        <w:left w:val="none" w:sz="0" w:space="0" w:color="auto"/>
        <w:bottom w:val="none" w:sz="0" w:space="0" w:color="auto"/>
        <w:right w:val="none" w:sz="0" w:space="0" w:color="auto"/>
      </w:divBdr>
      <w:divsChild>
        <w:div w:id="35588812">
          <w:marLeft w:val="0"/>
          <w:marRight w:val="0"/>
          <w:marTop w:val="0"/>
          <w:marBottom w:val="0"/>
          <w:divBdr>
            <w:top w:val="none" w:sz="0" w:space="0" w:color="auto"/>
            <w:left w:val="none" w:sz="0" w:space="0" w:color="auto"/>
            <w:bottom w:val="none" w:sz="0" w:space="0" w:color="auto"/>
            <w:right w:val="none" w:sz="0" w:space="0" w:color="auto"/>
          </w:divBdr>
          <w:divsChild>
            <w:div w:id="364018443">
              <w:marLeft w:val="0"/>
              <w:marRight w:val="0"/>
              <w:marTop w:val="0"/>
              <w:marBottom w:val="0"/>
              <w:divBdr>
                <w:top w:val="none" w:sz="0" w:space="0" w:color="auto"/>
                <w:left w:val="none" w:sz="0" w:space="0" w:color="auto"/>
                <w:bottom w:val="none" w:sz="0" w:space="0" w:color="auto"/>
                <w:right w:val="none" w:sz="0" w:space="0" w:color="auto"/>
              </w:divBdr>
              <w:divsChild>
                <w:div w:id="17015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47791">
      <w:bodyDiv w:val="1"/>
      <w:marLeft w:val="0"/>
      <w:marRight w:val="0"/>
      <w:marTop w:val="0"/>
      <w:marBottom w:val="0"/>
      <w:divBdr>
        <w:top w:val="none" w:sz="0" w:space="0" w:color="auto"/>
        <w:left w:val="none" w:sz="0" w:space="0" w:color="auto"/>
        <w:bottom w:val="none" w:sz="0" w:space="0" w:color="auto"/>
        <w:right w:val="none" w:sz="0" w:space="0" w:color="auto"/>
      </w:divBdr>
    </w:div>
    <w:div w:id="893397101">
      <w:bodyDiv w:val="1"/>
      <w:marLeft w:val="0"/>
      <w:marRight w:val="0"/>
      <w:marTop w:val="0"/>
      <w:marBottom w:val="0"/>
      <w:divBdr>
        <w:top w:val="none" w:sz="0" w:space="0" w:color="auto"/>
        <w:left w:val="none" w:sz="0" w:space="0" w:color="auto"/>
        <w:bottom w:val="none" w:sz="0" w:space="0" w:color="auto"/>
        <w:right w:val="none" w:sz="0" w:space="0" w:color="auto"/>
      </w:divBdr>
    </w:div>
    <w:div w:id="908735616">
      <w:bodyDiv w:val="1"/>
      <w:marLeft w:val="0"/>
      <w:marRight w:val="0"/>
      <w:marTop w:val="0"/>
      <w:marBottom w:val="0"/>
      <w:divBdr>
        <w:top w:val="none" w:sz="0" w:space="0" w:color="auto"/>
        <w:left w:val="none" w:sz="0" w:space="0" w:color="auto"/>
        <w:bottom w:val="none" w:sz="0" w:space="0" w:color="auto"/>
        <w:right w:val="none" w:sz="0" w:space="0" w:color="auto"/>
      </w:divBdr>
    </w:div>
    <w:div w:id="916477754">
      <w:bodyDiv w:val="1"/>
      <w:marLeft w:val="0"/>
      <w:marRight w:val="0"/>
      <w:marTop w:val="0"/>
      <w:marBottom w:val="0"/>
      <w:divBdr>
        <w:top w:val="none" w:sz="0" w:space="0" w:color="auto"/>
        <w:left w:val="none" w:sz="0" w:space="0" w:color="auto"/>
        <w:bottom w:val="none" w:sz="0" w:space="0" w:color="auto"/>
        <w:right w:val="none" w:sz="0" w:space="0" w:color="auto"/>
      </w:divBdr>
    </w:div>
    <w:div w:id="952832118">
      <w:bodyDiv w:val="1"/>
      <w:marLeft w:val="0"/>
      <w:marRight w:val="0"/>
      <w:marTop w:val="0"/>
      <w:marBottom w:val="0"/>
      <w:divBdr>
        <w:top w:val="none" w:sz="0" w:space="0" w:color="auto"/>
        <w:left w:val="none" w:sz="0" w:space="0" w:color="auto"/>
        <w:bottom w:val="none" w:sz="0" w:space="0" w:color="auto"/>
        <w:right w:val="none" w:sz="0" w:space="0" w:color="auto"/>
      </w:divBdr>
      <w:divsChild>
        <w:div w:id="873538227">
          <w:marLeft w:val="0"/>
          <w:marRight w:val="0"/>
          <w:marTop w:val="0"/>
          <w:marBottom w:val="0"/>
          <w:divBdr>
            <w:top w:val="none" w:sz="0" w:space="0" w:color="auto"/>
            <w:left w:val="none" w:sz="0" w:space="0" w:color="auto"/>
            <w:bottom w:val="none" w:sz="0" w:space="0" w:color="auto"/>
            <w:right w:val="none" w:sz="0" w:space="0" w:color="auto"/>
          </w:divBdr>
          <w:divsChild>
            <w:div w:id="80420041">
              <w:marLeft w:val="0"/>
              <w:marRight w:val="0"/>
              <w:marTop w:val="0"/>
              <w:marBottom w:val="0"/>
              <w:divBdr>
                <w:top w:val="none" w:sz="0" w:space="0" w:color="auto"/>
                <w:left w:val="none" w:sz="0" w:space="0" w:color="auto"/>
                <w:bottom w:val="none" w:sz="0" w:space="0" w:color="auto"/>
                <w:right w:val="none" w:sz="0" w:space="0" w:color="auto"/>
              </w:divBdr>
              <w:divsChild>
                <w:div w:id="1701978284">
                  <w:marLeft w:val="0"/>
                  <w:marRight w:val="0"/>
                  <w:marTop w:val="0"/>
                  <w:marBottom w:val="0"/>
                  <w:divBdr>
                    <w:top w:val="none" w:sz="0" w:space="0" w:color="auto"/>
                    <w:left w:val="none" w:sz="0" w:space="0" w:color="auto"/>
                    <w:bottom w:val="none" w:sz="0" w:space="0" w:color="auto"/>
                    <w:right w:val="none" w:sz="0" w:space="0" w:color="auto"/>
                  </w:divBdr>
                </w:div>
              </w:divsChild>
            </w:div>
            <w:div w:id="931089484">
              <w:marLeft w:val="0"/>
              <w:marRight w:val="0"/>
              <w:marTop w:val="0"/>
              <w:marBottom w:val="0"/>
              <w:divBdr>
                <w:top w:val="none" w:sz="0" w:space="0" w:color="auto"/>
                <w:left w:val="none" w:sz="0" w:space="0" w:color="auto"/>
                <w:bottom w:val="none" w:sz="0" w:space="0" w:color="auto"/>
                <w:right w:val="none" w:sz="0" w:space="0" w:color="auto"/>
              </w:divBdr>
              <w:divsChild>
                <w:div w:id="286670237">
                  <w:marLeft w:val="0"/>
                  <w:marRight w:val="0"/>
                  <w:marTop w:val="0"/>
                  <w:marBottom w:val="0"/>
                  <w:divBdr>
                    <w:top w:val="none" w:sz="0" w:space="0" w:color="auto"/>
                    <w:left w:val="none" w:sz="0" w:space="0" w:color="auto"/>
                    <w:bottom w:val="none" w:sz="0" w:space="0" w:color="auto"/>
                    <w:right w:val="none" w:sz="0" w:space="0" w:color="auto"/>
                  </w:divBdr>
                </w:div>
              </w:divsChild>
            </w:div>
            <w:div w:id="1708988268">
              <w:marLeft w:val="0"/>
              <w:marRight w:val="0"/>
              <w:marTop w:val="0"/>
              <w:marBottom w:val="0"/>
              <w:divBdr>
                <w:top w:val="none" w:sz="0" w:space="0" w:color="auto"/>
                <w:left w:val="none" w:sz="0" w:space="0" w:color="auto"/>
                <w:bottom w:val="none" w:sz="0" w:space="0" w:color="auto"/>
                <w:right w:val="none" w:sz="0" w:space="0" w:color="auto"/>
              </w:divBdr>
              <w:divsChild>
                <w:div w:id="1698655602">
                  <w:marLeft w:val="0"/>
                  <w:marRight w:val="0"/>
                  <w:marTop w:val="0"/>
                  <w:marBottom w:val="0"/>
                  <w:divBdr>
                    <w:top w:val="none" w:sz="0" w:space="0" w:color="auto"/>
                    <w:left w:val="none" w:sz="0" w:space="0" w:color="auto"/>
                    <w:bottom w:val="none" w:sz="0" w:space="0" w:color="auto"/>
                    <w:right w:val="none" w:sz="0" w:space="0" w:color="auto"/>
                  </w:divBdr>
                </w:div>
              </w:divsChild>
            </w:div>
            <w:div w:id="1773431530">
              <w:marLeft w:val="0"/>
              <w:marRight w:val="0"/>
              <w:marTop w:val="0"/>
              <w:marBottom w:val="0"/>
              <w:divBdr>
                <w:top w:val="none" w:sz="0" w:space="0" w:color="auto"/>
                <w:left w:val="none" w:sz="0" w:space="0" w:color="auto"/>
                <w:bottom w:val="none" w:sz="0" w:space="0" w:color="auto"/>
                <w:right w:val="none" w:sz="0" w:space="0" w:color="auto"/>
              </w:divBdr>
              <w:divsChild>
                <w:div w:id="3055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545">
      <w:bodyDiv w:val="1"/>
      <w:marLeft w:val="0"/>
      <w:marRight w:val="0"/>
      <w:marTop w:val="0"/>
      <w:marBottom w:val="0"/>
      <w:divBdr>
        <w:top w:val="none" w:sz="0" w:space="0" w:color="auto"/>
        <w:left w:val="none" w:sz="0" w:space="0" w:color="auto"/>
        <w:bottom w:val="none" w:sz="0" w:space="0" w:color="auto"/>
        <w:right w:val="none" w:sz="0" w:space="0" w:color="auto"/>
      </w:divBdr>
      <w:divsChild>
        <w:div w:id="1696881655">
          <w:marLeft w:val="0"/>
          <w:marRight w:val="0"/>
          <w:marTop w:val="0"/>
          <w:marBottom w:val="0"/>
          <w:divBdr>
            <w:top w:val="none" w:sz="0" w:space="0" w:color="auto"/>
            <w:left w:val="none" w:sz="0" w:space="0" w:color="auto"/>
            <w:bottom w:val="none" w:sz="0" w:space="0" w:color="auto"/>
            <w:right w:val="none" w:sz="0" w:space="0" w:color="auto"/>
          </w:divBdr>
          <w:divsChild>
            <w:div w:id="1572306895">
              <w:marLeft w:val="0"/>
              <w:marRight w:val="0"/>
              <w:marTop w:val="0"/>
              <w:marBottom w:val="0"/>
              <w:divBdr>
                <w:top w:val="none" w:sz="0" w:space="0" w:color="auto"/>
                <w:left w:val="none" w:sz="0" w:space="0" w:color="auto"/>
                <w:bottom w:val="none" w:sz="0" w:space="0" w:color="auto"/>
                <w:right w:val="none" w:sz="0" w:space="0" w:color="auto"/>
              </w:divBdr>
              <w:divsChild>
                <w:div w:id="15209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52208">
      <w:bodyDiv w:val="1"/>
      <w:marLeft w:val="0"/>
      <w:marRight w:val="0"/>
      <w:marTop w:val="0"/>
      <w:marBottom w:val="0"/>
      <w:divBdr>
        <w:top w:val="none" w:sz="0" w:space="0" w:color="auto"/>
        <w:left w:val="none" w:sz="0" w:space="0" w:color="auto"/>
        <w:bottom w:val="none" w:sz="0" w:space="0" w:color="auto"/>
        <w:right w:val="none" w:sz="0" w:space="0" w:color="auto"/>
      </w:divBdr>
      <w:divsChild>
        <w:div w:id="415135730">
          <w:marLeft w:val="0"/>
          <w:marRight w:val="0"/>
          <w:marTop w:val="0"/>
          <w:marBottom w:val="0"/>
          <w:divBdr>
            <w:top w:val="none" w:sz="0" w:space="0" w:color="auto"/>
            <w:left w:val="none" w:sz="0" w:space="0" w:color="auto"/>
            <w:bottom w:val="none" w:sz="0" w:space="0" w:color="auto"/>
            <w:right w:val="none" w:sz="0" w:space="0" w:color="auto"/>
          </w:divBdr>
          <w:divsChild>
            <w:div w:id="608318205">
              <w:marLeft w:val="0"/>
              <w:marRight w:val="0"/>
              <w:marTop w:val="0"/>
              <w:marBottom w:val="0"/>
              <w:divBdr>
                <w:top w:val="none" w:sz="0" w:space="0" w:color="auto"/>
                <w:left w:val="none" w:sz="0" w:space="0" w:color="auto"/>
                <w:bottom w:val="none" w:sz="0" w:space="0" w:color="auto"/>
                <w:right w:val="none" w:sz="0" w:space="0" w:color="auto"/>
              </w:divBdr>
              <w:divsChild>
                <w:div w:id="16182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35608">
      <w:bodyDiv w:val="1"/>
      <w:marLeft w:val="0"/>
      <w:marRight w:val="0"/>
      <w:marTop w:val="0"/>
      <w:marBottom w:val="0"/>
      <w:divBdr>
        <w:top w:val="none" w:sz="0" w:space="0" w:color="auto"/>
        <w:left w:val="none" w:sz="0" w:space="0" w:color="auto"/>
        <w:bottom w:val="none" w:sz="0" w:space="0" w:color="auto"/>
        <w:right w:val="none" w:sz="0" w:space="0" w:color="auto"/>
      </w:divBdr>
    </w:div>
    <w:div w:id="991913596">
      <w:bodyDiv w:val="1"/>
      <w:marLeft w:val="0"/>
      <w:marRight w:val="0"/>
      <w:marTop w:val="0"/>
      <w:marBottom w:val="0"/>
      <w:divBdr>
        <w:top w:val="none" w:sz="0" w:space="0" w:color="auto"/>
        <w:left w:val="none" w:sz="0" w:space="0" w:color="auto"/>
        <w:bottom w:val="none" w:sz="0" w:space="0" w:color="auto"/>
        <w:right w:val="none" w:sz="0" w:space="0" w:color="auto"/>
      </w:divBdr>
    </w:div>
    <w:div w:id="1028608172">
      <w:bodyDiv w:val="1"/>
      <w:marLeft w:val="0"/>
      <w:marRight w:val="0"/>
      <w:marTop w:val="0"/>
      <w:marBottom w:val="0"/>
      <w:divBdr>
        <w:top w:val="none" w:sz="0" w:space="0" w:color="auto"/>
        <w:left w:val="none" w:sz="0" w:space="0" w:color="auto"/>
        <w:bottom w:val="none" w:sz="0" w:space="0" w:color="auto"/>
        <w:right w:val="none" w:sz="0" w:space="0" w:color="auto"/>
      </w:divBdr>
      <w:divsChild>
        <w:div w:id="1808737858">
          <w:marLeft w:val="0"/>
          <w:marRight w:val="0"/>
          <w:marTop w:val="0"/>
          <w:marBottom w:val="0"/>
          <w:divBdr>
            <w:top w:val="none" w:sz="0" w:space="0" w:color="auto"/>
            <w:left w:val="none" w:sz="0" w:space="0" w:color="auto"/>
            <w:bottom w:val="none" w:sz="0" w:space="0" w:color="auto"/>
            <w:right w:val="none" w:sz="0" w:space="0" w:color="auto"/>
          </w:divBdr>
          <w:divsChild>
            <w:div w:id="515000478">
              <w:marLeft w:val="0"/>
              <w:marRight w:val="0"/>
              <w:marTop w:val="0"/>
              <w:marBottom w:val="0"/>
              <w:divBdr>
                <w:top w:val="none" w:sz="0" w:space="0" w:color="auto"/>
                <w:left w:val="none" w:sz="0" w:space="0" w:color="auto"/>
                <w:bottom w:val="none" w:sz="0" w:space="0" w:color="auto"/>
                <w:right w:val="none" w:sz="0" w:space="0" w:color="auto"/>
              </w:divBdr>
              <w:divsChild>
                <w:div w:id="19729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8954">
      <w:bodyDiv w:val="1"/>
      <w:marLeft w:val="0"/>
      <w:marRight w:val="0"/>
      <w:marTop w:val="0"/>
      <w:marBottom w:val="0"/>
      <w:divBdr>
        <w:top w:val="none" w:sz="0" w:space="0" w:color="auto"/>
        <w:left w:val="none" w:sz="0" w:space="0" w:color="auto"/>
        <w:bottom w:val="none" w:sz="0" w:space="0" w:color="auto"/>
        <w:right w:val="none" w:sz="0" w:space="0" w:color="auto"/>
      </w:divBdr>
      <w:divsChild>
        <w:div w:id="184827213">
          <w:marLeft w:val="0"/>
          <w:marRight w:val="0"/>
          <w:marTop w:val="0"/>
          <w:marBottom w:val="0"/>
          <w:divBdr>
            <w:top w:val="none" w:sz="0" w:space="0" w:color="auto"/>
            <w:left w:val="none" w:sz="0" w:space="0" w:color="auto"/>
            <w:bottom w:val="none" w:sz="0" w:space="0" w:color="auto"/>
            <w:right w:val="none" w:sz="0" w:space="0" w:color="auto"/>
          </w:divBdr>
          <w:divsChild>
            <w:div w:id="1006785639">
              <w:marLeft w:val="0"/>
              <w:marRight w:val="0"/>
              <w:marTop w:val="0"/>
              <w:marBottom w:val="0"/>
              <w:divBdr>
                <w:top w:val="none" w:sz="0" w:space="0" w:color="auto"/>
                <w:left w:val="none" w:sz="0" w:space="0" w:color="auto"/>
                <w:bottom w:val="none" w:sz="0" w:space="0" w:color="auto"/>
                <w:right w:val="none" w:sz="0" w:space="0" w:color="auto"/>
              </w:divBdr>
              <w:divsChild>
                <w:div w:id="2704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60226">
      <w:bodyDiv w:val="1"/>
      <w:marLeft w:val="0"/>
      <w:marRight w:val="0"/>
      <w:marTop w:val="0"/>
      <w:marBottom w:val="0"/>
      <w:divBdr>
        <w:top w:val="none" w:sz="0" w:space="0" w:color="auto"/>
        <w:left w:val="none" w:sz="0" w:space="0" w:color="auto"/>
        <w:bottom w:val="none" w:sz="0" w:space="0" w:color="auto"/>
        <w:right w:val="none" w:sz="0" w:space="0" w:color="auto"/>
      </w:divBdr>
      <w:divsChild>
        <w:div w:id="628122052">
          <w:marLeft w:val="0"/>
          <w:marRight w:val="0"/>
          <w:marTop w:val="0"/>
          <w:marBottom w:val="0"/>
          <w:divBdr>
            <w:top w:val="none" w:sz="0" w:space="0" w:color="auto"/>
            <w:left w:val="none" w:sz="0" w:space="0" w:color="auto"/>
            <w:bottom w:val="none" w:sz="0" w:space="0" w:color="auto"/>
            <w:right w:val="none" w:sz="0" w:space="0" w:color="auto"/>
          </w:divBdr>
          <w:divsChild>
            <w:div w:id="953946137">
              <w:marLeft w:val="0"/>
              <w:marRight w:val="0"/>
              <w:marTop w:val="0"/>
              <w:marBottom w:val="0"/>
              <w:divBdr>
                <w:top w:val="none" w:sz="0" w:space="0" w:color="auto"/>
                <w:left w:val="none" w:sz="0" w:space="0" w:color="auto"/>
                <w:bottom w:val="none" w:sz="0" w:space="0" w:color="auto"/>
                <w:right w:val="none" w:sz="0" w:space="0" w:color="auto"/>
              </w:divBdr>
              <w:divsChild>
                <w:div w:id="13391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7275">
      <w:bodyDiv w:val="1"/>
      <w:marLeft w:val="0"/>
      <w:marRight w:val="0"/>
      <w:marTop w:val="0"/>
      <w:marBottom w:val="0"/>
      <w:divBdr>
        <w:top w:val="none" w:sz="0" w:space="0" w:color="auto"/>
        <w:left w:val="none" w:sz="0" w:space="0" w:color="auto"/>
        <w:bottom w:val="none" w:sz="0" w:space="0" w:color="auto"/>
        <w:right w:val="none" w:sz="0" w:space="0" w:color="auto"/>
      </w:divBdr>
    </w:div>
    <w:div w:id="1051927298">
      <w:bodyDiv w:val="1"/>
      <w:marLeft w:val="0"/>
      <w:marRight w:val="0"/>
      <w:marTop w:val="0"/>
      <w:marBottom w:val="0"/>
      <w:divBdr>
        <w:top w:val="none" w:sz="0" w:space="0" w:color="auto"/>
        <w:left w:val="none" w:sz="0" w:space="0" w:color="auto"/>
        <w:bottom w:val="none" w:sz="0" w:space="0" w:color="auto"/>
        <w:right w:val="none" w:sz="0" w:space="0" w:color="auto"/>
      </w:divBdr>
    </w:div>
    <w:div w:id="1075202642">
      <w:bodyDiv w:val="1"/>
      <w:marLeft w:val="0"/>
      <w:marRight w:val="0"/>
      <w:marTop w:val="0"/>
      <w:marBottom w:val="0"/>
      <w:divBdr>
        <w:top w:val="none" w:sz="0" w:space="0" w:color="auto"/>
        <w:left w:val="none" w:sz="0" w:space="0" w:color="auto"/>
        <w:bottom w:val="none" w:sz="0" w:space="0" w:color="auto"/>
        <w:right w:val="none" w:sz="0" w:space="0" w:color="auto"/>
      </w:divBdr>
      <w:divsChild>
        <w:div w:id="1558011325">
          <w:marLeft w:val="0"/>
          <w:marRight w:val="0"/>
          <w:marTop w:val="0"/>
          <w:marBottom w:val="0"/>
          <w:divBdr>
            <w:top w:val="none" w:sz="0" w:space="0" w:color="auto"/>
            <w:left w:val="none" w:sz="0" w:space="0" w:color="auto"/>
            <w:bottom w:val="none" w:sz="0" w:space="0" w:color="auto"/>
            <w:right w:val="none" w:sz="0" w:space="0" w:color="auto"/>
          </w:divBdr>
          <w:divsChild>
            <w:div w:id="1166820412">
              <w:marLeft w:val="0"/>
              <w:marRight w:val="0"/>
              <w:marTop w:val="0"/>
              <w:marBottom w:val="0"/>
              <w:divBdr>
                <w:top w:val="none" w:sz="0" w:space="0" w:color="auto"/>
                <w:left w:val="none" w:sz="0" w:space="0" w:color="auto"/>
                <w:bottom w:val="none" w:sz="0" w:space="0" w:color="auto"/>
                <w:right w:val="none" w:sz="0" w:space="0" w:color="auto"/>
              </w:divBdr>
              <w:divsChild>
                <w:div w:id="11042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29138">
      <w:bodyDiv w:val="1"/>
      <w:marLeft w:val="0"/>
      <w:marRight w:val="0"/>
      <w:marTop w:val="0"/>
      <w:marBottom w:val="0"/>
      <w:divBdr>
        <w:top w:val="none" w:sz="0" w:space="0" w:color="auto"/>
        <w:left w:val="none" w:sz="0" w:space="0" w:color="auto"/>
        <w:bottom w:val="none" w:sz="0" w:space="0" w:color="auto"/>
        <w:right w:val="none" w:sz="0" w:space="0" w:color="auto"/>
      </w:divBdr>
    </w:div>
    <w:div w:id="1105228710">
      <w:bodyDiv w:val="1"/>
      <w:marLeft w:val="0"/>
      <w:marRight w:val="0"/>
      <w:marTop w:val="0"/>
      <w:marBottom w:val="0"/>
      <w:divBdr>
        <w:top w:val="none" w:sz="0" w:space="0" w:color="auto"/>
        <w:left w:val="none" w:sz="0" w:space="0" w:color="auto"/>
        <w:bottom w:val="none" w:sz="0" w:space="0" w:color="auto"/>
        <w:right w:val="none" w:sz="0" w:space="0" w:color="auto"/>
      </w:divBdr>
      <w:divsChild>
        <w:div w:id="1502551701">
          <w:marLeft w:val="0"/>
          <w:marRight w:val="0"/>
          <w:marTop w:val="0"/>
          <w:marBottom w:val="0"/>
          <w:divBdr>
            <w:top w:val="none" w:sz="0" w:space="0" w:color="auto"/>
            <w:left w:val="none" w:sz="0" w:space="0" w:color="auto"/>
            <w:bottom w:val="none" w:sz="0" w:space="0" w:color="auto"/>
            <w:right w:val="none" w:sz="0" w:space="0" w:color="auto"/>
          </w:divBdr>
          <w:divsChild>
            <w:div w:id="754668736">
              <w:marLeft w:val="0"/>
              <w:marRight w:val="0"/>
              <w:marTop w:val="0"/>
              <w:marBottom w:val="0"/>
              <w:divBdr>
                <w:top w:val="none" w:sz="0" w:space="0" w:color="auto"/>
                <w:left w:val="none" w:sz="0" w:space="0" w:color="auto"/>
                <w:bottom w:val="none" w:sz="0" w:space="0" w:color="auto"/>
                <w:right w:val="none" w:sz="0" w:space="0" w:color="auto"/>
              </w:divBdr>
              <w:divsChild>
                <w:div w:id="18657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2044">
      <w:bodyDiv w:val="1"/>
      <w:marLeft w:val="0"/>
      <w:marRight w:val="0"/>
      <w:marTop w:val="0"/>
      <w:marBottom w:val="0"/>
      <w:divBdr>
        <w:top w:val="none" w:sz="0" w:space="0" w:color="auto"/>
        <w:left w:val="none" w:sz="0" w:space="0" w:color="auto"/>
        <w:bottom w:val="none" w:sz="0" w:space="0" w:color="auto"/>
        <w:right w:val="none" w:sz="0" w:space="0" w:color="auto"/>
      </w:divBdr>
    </w:div>
    <w:div w:id="1119296178">
      <w:bodyDiv w:val="1"/>
      <w:marLeft w:val="0"/>
      <w:marRight w:val="0"/>
      <w:marTop w:val="0"/>
      <w:marBottom w:val="0"/>
      <w:divBdr>
        <w:top w:val="none" w:sz="0" w:space="0" w:color="auto"/>
        <w:left w:val="none" w:sz="0" w:space="0" w:color="auto"/>
        <w:bottom w:val="none" w:sz="0" w:space="0" w:color="auto"/>
        <w:right w:val="none" w:sz="0" w:space="0" w:color="auto"/>
      </w:divBdr>
      <w:divsChild>
        <w:div w:id="2096978341">
          <w:marLeft w:val="0"/>
          <w:marRight w:val="0"/>
          <w:marTop w:val="0"/>
          <w:marBottom w:val="0"/>
          <w:divBdr>
            <w:top w:val="none" w:sz="0" w:space="0" w:color="auto"/>
            <w:left w:val="none" w:sz="0" w:space="0" w:color="auto"/>
            <w:bottom w:val="none" w:sz="0" w:space="0" w:color="auto"/>
            <w:right w:val="none" w:sz="0" w:space="0" w:color="auto"/>
          </w:divBdr>
          <w:divsChild>
            <w:div w:id="612248062">
              <w:marLeft w:val="0"/>
              <w:marRight w:val="0"/>
              <w:marTop w:val="0"/>
              <w:marBottom w:val="0"/>
              <w:divBdr>
                <w:top w:val="none" w:sz="0" w:space="0" w:color="auto"/>
                <w:left w:val="none" w:sz="0" w:space="0" w:color="auto"/>
                <w:bottom w:val="none" w:sz="0" w:space="0" w:color="auto"/>
                <w:right w:val="none" w:sz="0" w:space="0" w:color="auto"/>
              </w:divBdr>
              <w:divsChild>
                <w:div w:id="11207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70217">
      <w:bodyDiv w:val="1"/>
      <w:marLeft w:val="0"/>
      <w:marRight w:val="0"/>
      <w:marTop w:val="0"/>
      <w:marBottom w:val="0"/>
      <w:divBdr>
        <w:top w:val="none" w:sz="0" w:space="0" w:color="auto"/>
        <w:left w:val="none" w:sz="0" w:space="0" w:color="auto"/>
        <w:bottom w:val="none" w:sz="0" w:space="0" w:color="auto"/>
        <w:right w:val="none" w:sz="0" w:space="0" w:color="auto"/>
      </w:divBdr>
      <w:divsChild>
        <w:div w:id="2042198253">
          <w:marLeft w:val="0"/>
          <w:marRight w:val="0"/>
          <w:marTop w:val="0"/>
          <w:marBottom w:val="0"/>
          <w:divBdr>
            <w:top w:val="none" w:sz="0" w:space="0" w:color="auto"/>
            <w:left w:val="none" w:sz="0" w:space="0" w:color="auto"/>
            <w:bottom w:val="none" w:sz="0" w:space="0" w:color="auto"/>
            <w:right w:val="none" w:sz="0" w:space="0" w:color="auto"/>
          </w:divBdr>
          <w:divsChild>
            <w:div w:id="710224795">
              <w:marLeft w:val="0"/>
              <w:marRight w:val="0"/>
              <w:marTop w:val="0"/>
              <w:marBottom w:val="0"/>
              <w:divBdr>
                <w:top w:val="none" w:sz="0" w:space="0" w:color="auto"/>
                <w:left w:val="none" w:sz="0" w:space="0" w:color="auto"/>
                <w:bottom w:val="none" w:sz="0" w:space="0" w:color="auto"/>
                <w:right w:val="none" w:sz="0" w:space="0" w:color="auto"/>
              </w:divBdr>
              <w:divsChild>
                <w:div w:id="1753821135">
                  <w:marLeft w:val="0"/>
                  <w:marRight w:val="0"/>
                  <w:marTop w:val="0"/>
                  <w:marBottom w:val="0"/>
                  <w:divBdr>
                    <w:top w:val="none" w:sz="0" w:space="0" w:color="auto"/>
                    <w:left w:val="none" w:sz="0" w:space="0" w:color="auto"/>
                    <w:bottom w:val="none" w:sz="0" w:space="0" w:color="auto"/>
                    <w:right w:val="none" w:sz="0" w:space="0" w:color="auto"/>
                  </w:divBdr>
                  <w:divsChild>
                    <w:div w:id="5495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2230">
      <w:bodyDiv w:val="1"/>
      <w:marLeft w:val="0"/>
      <w:marRight w:val="0"/>
      <w:marTop w:val="0"/>
      <w:marBottom w:val="0"/>
      <w:divBdr>
        <w:top w:val="none" w:sz="0" w:space="0" w:color="auto"/>
        <w:left w:val="none" w:sz="0" w:space="0" w:color="auto"/>
        <w:bottom w:val="none" w:sz="0" w:space="0" w:color="auto"/>
        <w:right w:val="none" w:sz="0" w:space="0" w:color="auto"/>
      </w:divBdr>
      <w:divsChild>
        <w:div w:id="1003628635">
          <w:marLeft w:val="0"/>
          <w:marRight w:val="0"/>
          <w:marTop w:val="0"/>
          <w:marBottom w:val="0"/>
          <w:divBdr>
            <w:top w:val="none" w:sz="0" w:space="0" w:color="auto"/>
            <w:left w:val="none" w:sz="0" w:space="0" w:color="auto"/>
            <w:bottom w:val="none" w:sz="0" w:space="0" w:color="auto"/>
            <w:right w:val="none" w:sz="0" w:space="0" w:color="auto"/>
          </w:divBdr>
          <w:divsChild>
            <w:div w:id="2143771903">
              <w:marLeft w:val="0"/>
              <w:marRight w:val="0"/>
              <w:marTop w:val="0"/>
              <w:marBottom w:val="0"/>
              <w:divBdr>
                <w:top w:val="none" w:sz="0" w:space="0" w:color="auto"/>
                <w:left w:val="none" w:sz="0" w:space="0" w:color="auto"/>
                <w:bottom w:val="none" w:sz="0" w:space="0" w:color="auto"/>
                <w:right w:val="none" w:sz="0" w:space="0" w:color="auto"/>
              </w:divBdr>
              <w:divsChild>
                <w:div w:id="13020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43339">
      <w:bodyDiv w:val="1"/>
      <w:marLeft w:val="0"/>
      <w:marRight w:val="0"/>
      <w:marTop w:val="0"/>
      <w:marBottom w:val="0"/>
      <w:divBdr>
        <w:top w:val="none" w:sz="0" w:space="0" w:color="auto"/>
        <w:left w:val="none" w:sz="0" w:space="0" w:color="auto"/>
        <w:bottom w:val="none" w:sz="0" w:space="0" w:color="auto"/>
        <w:right w:val="none" w:sz="0" w:space="0" w:color="auto"/>
      </w:divBdr>
    </w:div>
    <w:div w:id="1131896702">
      <w:bodyDiv w:val="1"/>
      <w:marLeft w:val="0"/>
      <w:marRight w:val="0"/>
      <w:marTop w:val="0"/>
      <w:marBottom w:val="0"/>
      <w:divBdr>
        <w:top w:val="none" w:sz="0" w:space="0" w:color="auto"/>
        <w:left w:val="none" w:sz="0" w:space="0" w:color="auto"/>
        <w:bottom w:val="none" w:sz="0" w:space="0" w:color="auto"/>
        <w:right w:val="none" w:sz="0" w:space="0" w:color="auto"/>
      </w:divBdr>
    </w:div>
    <w:div w:id="1137989319">
      <w:bodyDiv w:val="1"/>
      <w:marLeft w:val="0"/>
      <w:marRight w:val="0"/>
      <w:marTop w:val="0"/>
      <w:marBottom w:val="0"/>
      <w:divBdr>
        <w:top w:val="none" w:sz="0" w:space="0" w:color="auto"/>
        <w:left w:val="none" w:sz="0" w:space="0" w:color="auto"/>
        <w:bottom w:val="none" w:sz="0" w:space="0" w:color="auto"/>
        <w:right w:val="none" w:sz="0" w:space="0" w:color="auto"/>
      </w:divBdr>
    </w:div>
    <w:div w:id="1142114471">
      <w:bodyDiv w:val="1"/>
      <w:marLeft w:val="0"/>
      <w:marRight w:val="0"/>
      <w:marTop w:val="0"/>
      <w:marBottom w:val="0"/>
      <w:divBdr>
        <w:top w:val="none" w:sz="0" w:space="0" w:color="auto"/>
        <w:left w:val="none" w:sz="0" w:space="0" w:color="auto"/>
        <w:bottom w:val="none" w:sz="0" w:space="0" w:color="auto"/>
        <w:right w:val="none" w:sz="0" w:space="0" w:color="auto"/>
      </w:divBdr>
    </w:div>
    <w:div w:id="1153519612">
      <w:bodyDiv w:val="1"/>
      <w:marLeft w:val="0"/>
      <w:marRight w:val="0"/>
      <w:marTop w:val="0"/>
      <w:marBottom w:val="0"/>
      <w:divBdr>
        <w:top w:val="none" w:sz="0" w:space="0" w:color="auto"/>
        <w:left w:val="none" w:sz="0" w:space="0" w:color="auto"/>
        <w:bottom w:val="none" w:sz="0" w:space="0" w:color="auto"/>
        <w:right w:val="none" w:sz="0" w:space="0" w:color="auto"/>
      </w:divBdr>
    </w:div>
    <w:div w:id="1163937275">
      <w:bodyDiv w:val="1"/>
      <w:marLeft w:val="0"/>
      <w:marRight w:val="0"/>
      <w:marTop w:val="0"/>
      <w:marBottom w:val="0"/>
      <w:divBdr>
        <w:top w:val="none" w:sz="0" w:space="0" w:color="auto"/>
        <w:left w:val="none" w:sz="0" w:space="0" w:color="auto"/>
        <w:bottom w:val="none" w:sz="0" w:space="0" w:color="auto"/>
        <w:right w:val="none" w:sz="0" w:space="0" w:color="auto"/>
      </w:divBdr>
    </w:div>
    <w:div w:id="1174300904">
      <w:bodyDiv w:val="1"/>
      <w:marLeft w:val="0"/>
      <w:marRight w:val="0"/>
      <w:marTop w:val="0"/>
      <w:marBottom w:val="0"/>
      <w:divBdr>
        <w:top w:val="none" w:sz="0" w:space="0" w:color="auto"/>
        <w:left w:val="none" w:sz="0" w:space="0" w:color="auto"/>
        <w:bottom w:val="none" w:sz="0" w:space="0" w:color="auto"/>
        <w:right w:val="none" w:sz="0" w:space="0" w:color="auto"/>
      </w:divBdr>
    </w:div>
    <w:div w:id="1178931447">
      <w:bodyDiv w:val="1"/>
      <w:marLeft w:val="0"/>
      <w:marRight w:val="0"/>
      <w:marTop w:val="0"/>
      <w:marBottom w:val="0"/>
      <w:divBdr>
        <w:top w:val="none" w:sz="0" w:space="0" w:color="auto"/>
        <w:left w:val="none" w:sz="0" w:space="0" w:color="auto"/>
        <w:bottom w:val="none" w:sz="0" w:space="0" w:color="auto"/>
        <w:right w:val="none" w:sz="0" w:space="0" w:color="auto"/>
      </w:divBdr>
    </w:div>
    <w:div w:id="1182354663">
      <w:bodyDiv w:val="1"/>
      <w:marLeft w:val="0"/>
      <w:marRight w:val="0"/>
      <w:marTop w:val="0"/>
      <w:marBottom w:val="0"/>
      <w:divBdr>
        <w:top w:val="none" w:sz="0" w:space="0" w:color="auto"/>
        <w:left w:val="none" w:sz="0" w:space="0" w:color="auto"/>
        <w:bottom w:val="none" w:sz="0" w:space="0" w:color="auto"/>
        <w:right w:val="none" w:sz="0" w:space="0" w:color="auto"/>
      </w:divBdr>
    </w:div>
    <w:div w:id="1207062312">
      <w:bodyDiv w:val="1"/>
      <w:marLeft w:val="0"/>
      <w:marRight w:val="0"/>
      <w:marTop w:val="0"/>
      <w:marBottom w:val="0"/>
      <w:divBdr>
        <w:top w:val="none" w:sz="0" w:space="0" w:color="auto"/>
        <w:left w:val="none" w:sz="0" w:space="0" w:color="auto"/>
        <w:bottom w:val="none" w:sz="0" w:space="0" w:color="auto"/>
        <w:right w:val="none" w:sz="0" w:space="0" w:color="auto"/>
      </w:divBdr>
    </w:div>
    <w:div w:id="1231618891">
      <w:bodyDiv w:val="1"/>
      <w:marLeft w:val="0"/>
      <w:marRight w:val="0"/>
      <w:marTop w:val="0"/>
      <w:marBottom w:val="0"/>
      <w:divBdr>
        <w:top w:val="none" w:sz="0" w:space="0" w:color="auto"/>
        <w:left w:val="none" w:sz="0" w:space="0" w:color="auto"/>
        <w:bottom w:val="none" w:sz="0" w:space="0" w:color="auto"/>
        <w:right w:val="none" w:sz="0" w:space="0" w:color="auto"/>
      </w:divBdr>
    </w:div>
    <w:div w:id="1237672408">
      <w:bodyDiv w:val="1"/>
      <w:marLeft w:val="0"/>
      <w:marRight w:val="0"/>
      <w:marTop w:val="0"/>
      <w:marBottom w:val="0"/>
      <w:divBdr>
        <w:top w:val="none" w:sz="0" w:space="0" w:color="auto"/>
        <w:left w:val="none" w:sz="0" w:space="0" w:color="auto"/>
        <w:bottom w:val="none" w:sz="0" w:space="0" w:color="auto"/>
        <w:right w:val="none" w:sz="0" w:space="0" w:color="auto"/>
      </w:divBdr>
      <w:divsChild>
        <w:div w:id="1719474480">
          <w:marLeft w:val="0"/>
          <w:marRight w:val="0"/>
          <w:marTop w:val="0"/>
          <w:marBottom w:val="0"/>
          <w:divBdr>
            <w:top w:val="none" w:sz="0" w:space="0" w:color="auto"/>
            <w:left w:val="none" w:sz="0" w:space="0" w:color="auto"/>
            <w:bottom w:val="none" w:sz="0" w:space="0" w:color="auto"/>
            <w:right w:val="none" w:sz="0" w:space="0" w:color="auto"/>
          </w:divBdr>
          <w:divsChild>
            <w:div w:id="1817649737">
              <w:marLeft w:val="0"/>
              <w:marRight w:val="0"/>
              <w:marTop w:val="0"/>
              <w:marBottom w:val="0"/>
              <w:divBdr>
                <w:top w:val="none" w:sz="0" w:space="0" w:color="auto"/>
                <w:left w:val="none" w:sz="0" w:space="0" w:color="auto"/>
                <w:bottom w:val="none" w:sz="0" w:space="0" w:color="auto"/>
                <w:right w:val="none" w:sz="0" w:space="0" w:color="auto"/>
              </w:divBdr>
              <w:divsChild>
                <w:div w:id="835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20322">
      <w:bodyDiv w:val="1"/>
      <w:marLeft w:val="0"/>
      <w:marRight w:val="0"/>
      <w:marTop w:val="0"/>
      <w:marBottom w:val="0"/>
      <w:divBdr>
        <w:top w:val="none" w:sz="0" w:space="0" w:color="auto"/>
        <w:left w:val="none" w:sz="0" w:space="0" w:color="auto"/>
        <w:bottom w:val="none" w:sz="0" w:space="0" w:color="auto"/>
        <w:right w:val="none" w:sz="0" w:space="0" w:color="auto"/>
      </w:divBdr>
      <w:divsChild>
        <w:div w:id="698434130">
          <w:marLeft w:val="0"/>
          <w:marRight w:val="0"/>
          <w:marTop w:val="0"/>
          <w:marBottom w:val="0"/>
          <w:divBdr>
            <w:top w:val="none" w:sz="0" w:space="0" w:color="auto"/>
            <w:left w:val="none" w:sz="0" w:space="0" w:color="auto"/>
            <w:bottom w:val="none" w:sz="0" w:space="0" w:color="auto"/>
            <w:right w:val="none" w:sz="0" w:space="0" w:color="auto"/>
          </w:divBdr>
          <w:divsChild>
            <w:div w:id="2085832086">
              <w:marLeft w:val="0"/>
              <w:marRight w:val="0"/>
              <w:marTop w:val="0"/>
              <w:marBottom w:val="0"/>
              <w:divBdr>
                <w:top w:val="none" w:sz="0" w:space="0" w:color="auto"/>
                <w:left w:val="none" w:sz="0" w:space="0" w:color="auto"/>
                <w:bottom w:val="none" w:sz="0" w:space="0" w:color="auto"/>
                <w:right w:val="none" w:sz="0" w:space="0" w:color="auto"/>
              </w:divBdr>
              <w:divsChild>
                <w:div w:id="4921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25630">
      <w:bodyDiv w:val="1"/>
      <w:marLeft w:val="0"/>
      <w:marRight w:val="0"/>
      <w:marTop w:val="0"/>
      <w:marBottom w:val="0"/>
      <w:divBdr>
        <w:top w:val="none" w:sz="0" w:space="0" w:color="auto"/>
        <w:left w:val="none" w:sz="0" w:space="0" w:color="auto"/>
        <w:bottom w:val="none" w:sz="0" w:space="0" w:color="auto"/>
        <w:right w:val="none" w:sz="0" w:space="0" w:color="auto"/>
      </w:divBdr>
    </w:div>
    <w:div w:id="1383401394">
      <w:bodyDiv w:val="1"/>
      <w:marLeft w:val="0"/>
      <w:marRight w:val="0"/>
      <w:marTop w:val="0"/>
      <w:marBottom w:val="0"/>
      <w:divBdr>
        <w:top w:val="none" w:sz="0" w:space="0" w:color="auto"/>
        <w:left w:val="none" w:sz="0" w:space="0" w:color="auto"/>
        <w:bottom w:val="none" w:sz="0" w:space="0" w:color="auto"/>
        <w:right w:val="none" w:sz="0" w:space="0" w:color="auto"/>
      </w:divBdr>
      <w:divsChild>
        <w:div w:id="1550527463">
          <w:marLeft w:val="0"/>
          <w:marRight w:val="0"/>
          <w:marTop w:val="0"/>
          <w:marBottom w:val="0"/>
          <w:divBdr>
            <w:top w:val="none" w:sz="0" w:space="0" w:color="auto"/>
            <w:left w:val="none" w:sz="0" w:space="0" w:color="auto"/>
            <w:bottom w:val="none" w:sz="0" w:space="0" w:color="auto"/>
            <w:right w:val="none" w:sz="0" w:space="0" w:color="auto"/>
          </w:divBdr>
          <w:divsChild>
            <w:div w:id="2041123086">
              <w:marLeft w:val="0"/>
              <w:marRight w:val="0"/>
              <w:marTop w:val="0"/>
              <w:marBottom w:val="0"/>
              <w:divBdr>
                <w:top w:val="none" w:sz="0" w:space="0" w:color="auto"/>
                <w:left w:val="none" w:sz="0" w:space="0" w:color="auto"/>
                <w:bottom w:val="none" w:sz="0" w:space="0" w:color="auto"/>
                <w:right w:val="none" w:sz="0" w:space="0" w:color="auto"/>
              </w:divBdr>
              <w:divsChild>
                <w:div w:id="6423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2355">
      <w:bodyDiv w:val="1"/>
      <w:marLeft w:val="0"/>
      <w:marRight w:val="0"/>
      <w:marTop w:val="0"/>
      <w:marBottom w:val="0"/>
      <w:divBdr>
        <w:top w:val="none" w:sz="0" w:space="0" w:color="auto"/>
        <w:left w:val="none" w:sz="0" w:space="0" w:color="auto"/>
        <w:bottom w:val="none" w:sz="0" w:space="0" w:color="auto"/>
        <w:right w:val="none" w:sz="0" w:space="0" w:color="auto"/>
      </w:divBdr>
    </w:div>
    <w:div w:id="1452820208">
      <w:bodyDiv w:val="1"/>
      <w:marLeft w:val="0"/>
      <w:marRight w:val="0"/>
      <w:marTop w:val="0"/>
      <w:marBottom w:val="0"/>
      <w:divBdr>
        <w:top w:val="none" w:sz="0" w:space="0" w:color="auto"/>
        <w:left w:val="none" w:sz="0" w:space="0" w:color="auto"/>
        <w:bottom w:val="none" w:sz="0" w:space="0" w:color="auto"/>
        <w:right w:val="none" w:sz="0" w:space="0" w:color="auto"/>
      </w:divBdr>
    </w:div>
    <w:div w:id="1478299523">
      <w:bodyDiv w:val="1"/>
      <w:marLeft w:val="0"/>
      <w:marRight w:val="0"/>
      <w:marTop w:val="0"/>
      <w:marBottom w:val="0"/>
      <w:divBdr>
        <w:top w:val="none" w:sz="0" w:space="0" w:color="auto"/>
        <w:left w:val="none" w:sz="0" w:space="0" w:color="auto"/>
        <w:bottom w:val="none" w:sz="0" w:space="0" w:color="auto"/>
        <w:right w:val="none" w:sz="0" w:space="0" w:color="auto"/>
      </w:divBdr>
    </w:div>
    <w:div w:id="1478302348">
      <w:bodyDiv w:val="1"/>
      <w:marLeft w:val="0"/>
      <w:marRight w:val="0"/>
      <w:marTop w:val="0"/>
      <w:marBottom w:val="0"/>
      <w:divBdr>
        <w:top w:val="none" w:sz="0" w:space="0" w:color="auto"/>
        <w:left w:val="none" w:sz="0" w:space="0" w:color="auto"/>
        <w:bottom w:val="none" w:sz="0" w:space="0" w:color="auto"/>
        <w:right w:val="none" w:sz="0" w:space="0" w:color="auto"/>
      </w:divBdr>
    </w:div>
    <w:div w:id="1489176243">
      <w:bodyDiv w:val="1"/>
      <w:marLeft w:val="0"/>
      <w:marRight w:val="0"/>
      <w:marTop w:val="0"/>
      <w:marBottom w:val="0"/>
      <w:divBdr>
        <w:top w:val="none" w:sz="0" w:space="0" w:color="auto"/>
        <w:left w:val="none" w:sz="0" w:space="0" w:color="auto"/>
        <w:bottom w:val="none" w:sz="0" w:space="0" w:color="auto"/>
        <w:right w:val="none" w:sz="0" w:space="0" w:color="auto"/>
      </w:divBdr>
      <w:divsChild>
        <w:div w:id="1663118505">
          <w:marLeft w:val="0"/>
          <w:marRight w:val="0"/>
          <w:marTop w:val="0"/>
          <w:marBottom w:val="0"/>
          <w:divBdr>
            <w:top w:val="none" w:sz="0" w:space="0" w:color="auto"/>
            <w:left w:val="none" w:sz="0" w:space="0" w:color="auto"/>
            <w:bottom w:val="none" w:sz="0" w:space="0" w:color="auto"/>
            <w:right w:val="none" w:sz="0" w:space="0" w:color="auto"/>
          </w:divBdr>
          <w:divsChild>
            <w:div w:id="1745294183">
              <w:marLeft w:val="0"/>
              <w:marRight w:val="0"/>
              <w:marTop w:val="0"/>
              <w:marBottom w:val="0"/>
              <w:divBdr>
                <w:top w:val="none" w:sz="0" w:space="0" w:color="auto"/>
                <w:left w:val="none" w:sz="0" w:space="0" w:color="auto"/>
                <w:bottom w:val="none" w:sz="0" w:space="0" w:color="auto"/>
                <w:right w:val="none" w:sz="0" w:space="0" w:color="auto"/>
              </w:divBdr>
              <w:divsChild>
                <w:div w:id="8410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63301">
      <w:bodyDiv w:val="1"/>
      <w:marLeft w:val="0"/>
      <w:marRight w:val="0"/>
      <w:marTop w:val="0"/>
      <w:marBottom w:val="0"/>
      <w:divBdr>
        <w:top w:val="none" w:sz="0" w:space="0" w:color="auto"/>
        <w:left w:val="none" w:sz="0" w:space="0" w:color="auto"/>
        <w:bottom w:val="none" w:sz="0" w:space="0" w:color="auto"/>
        <w:right w:val="none" w:sz="0" w:space="0" w:color="auto"/>
      </w:divBdr>
    </w:div>
    <w:div w:id="1543009553">
      <w:bodyDiv w:val="1"/>
      <w:marLeft w:val="0"/>
      <w:marRight w:val="0"/>
      <w:marTop w:val="0"/>
      <w:marBottom w:val="0"/>
      <w:divBdr>
        <w:top w:val="none" w:sz="0" w:space="0" w:color="auto"/>
        <w:left w:val="none" w:sz="0" w:space="0" w:color="auto"/>
        <w:bottom w:val="none" w:sz="0" w:space="0" w:color="auto"/>
        <w:right w:val="none" w:sz="0" w:space="0" w:color="auto"/>
      </w:divBdr>
      <w:divsChild>
        <w:div w:id="6908411">
          <w:marLeft w:val="0"/>
          <w:marRight w:val="0"/>
          <w:marTop w:val="0"/>
          <w:marBottom w:val="0"/>
          <w:divBdr>
            <w:top w:val="none" w:sz="0" w:space="0" w:color="auto"/>
            <w:left w:val="none" w:sz="0" w:space="0" w:color="auto"/>
            <w:bottom w:val="none" w:sz="0" w:space="0" w:color="auto"/>
            <w:right w:val="none" w:sz="0" w:space="0" w:color="auto"/>
          </w:divBdr>
          <w:divsChild>
            <w:div w:id="933323099">
              <w:marLeft w:val="0"/>
              <w:marRight w:val="0"/>
              <w:marTop w:val="0"/>
              <w:marBottom w:val="0"/>
              <w:divBdr>
                <w:top w:val="none" w:sz="0" w:space="0" w:color="auto"/>
                <w:left w:val="none" w:sz="0" w:space="0" w:color="auto"/>
                <w:bottom w:val="none" w:sz="0" w:space="0" w:color="auto"/>
                <w:right w:val="none" w:sz="0" w:space="0" w:color="auto"/>
              </w:divBdr>
              <w:divsChild>
                <w:div w:id="9917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04685">
      <w:bodyDiv w:val="1"/>
      <w:marLeft w:val="0"/>
      <w:marRight w:val="0"/>
      <w:marTop w:val="0"/>
      <w:marBottom w:val="0"/>
      <w:divBdr>
        <w:top w:val="none" w:sz="0" w:space="0" w:color="auto"/>
        <w:left w:val="none" w:sz="0" w:space="0" w:color="auto"/>
        <w:bottom w:val="none" w:sz="0" w:space="0" w:color="auto"/>
        <w:right w:val="none" w:sz="0" w:space="0" w:color="auto"/>
      </w:divBdr>
      <w:divsChild>
        <w:div w:id="834149490">
          <w:marLeft w:val="0"/>
          <w:marRight w:val="0"/>
          <w:marTop w:val="0"/>
          <w:marBottom w:val="0"/>
          <w:divBdr>
            <w:top w:val="none" w:sz="0" w:space="0" w:color="auto"/>
            <w:left w:val="none" w:sz="0" w:space="0" w:color="auto"/>
            <w:bottom w:val="none" w:sz="0" w:space="0" w:color="auto"/>
            <w:right w:val="none" w:sz="0" w:space="0" w:color="auto"/>
          </w:divBdr>
          <w:divsChild>
            <w:div w:id="650908548">
              <w:marLeft w:val="0"/>
              <w:marRight w:val="0"/>
              <w:marTop w:val="0"/>
              <w:marBottom w:val="0"/>
              <w:divBdr>
                <w:top w:val="none" w:sz="0" w:space="0" w:color="auto"/>
                <w:left w:val="none" w:sz="0" w:space="0" w:color="auto"/>
                <w:bottom w:val="none" w:sz="0" w:space="0" w:color="auto"/>
                <w:right w:val="none" w:sz="0" w:space="0" w:color="auto"/>
              </w:divBdr>
              <w:divsChild>
                <w:div w:id="17611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5603">
      <w:bodyDiv w:val="1"/>
      <w:marLeft w:val="0"/>
      <w:marRight w:val="0"/>
      <w:marTop w:val="0"/>
      <w:marBottom w:val="0"/>
      <w:divBdr>
        <w:top w:val="none" w:sz="0" w:space="0" w:color="auto"/>
        <w:left w:val="none" w:sz="0" w:space="0" w:color="auto"/>
        <w:bottom w:val="none" w:sz="0" w:space="0" w:color="auto"/>
        <w:right w:val="none" w:sz="0" w:space="0" w:color="auto"/>
      </w:divBdr>
    </w:div>
    <w:div w:id="1564564670">
      <w:bodyDiv w:val="1"/>
      <w:marLeft w:val="0"/>
      <w:marRight w:val="0"/>
      <w:marTop w:val="0"/>
      <w:marBottom w:val="0"/>
      <w:divBdr>
        <w:top w:val="none" w:sz="0" w:space="0" w:color="auto"/>
        <w:left w:val="none" w:sz="0" w:space="0" w:color="auto"/>
        <w:bottom w:val="none" w:sz="0" w:space="0" w:color="auto"/>
        <w:right w:val="none" w:sz="0" w:space="0" w:color="auto"/>
      </w:divBdr>
      <w:divsChild>
        <w:div w:id="295375138">
          <w:marLeft w:val="0"/>
          <w:marRight w:val="0"/>
          <w:marTop w:val="0"/>
          <w:marBottom w:val="0"/>
          <w:divBdr>
            <w:top w:val="none" w:sz="0" w:space="0" w:color="auto"/>
            <w:left w:val="none" w:sz="0" w:space="0" w:color="auto"/>
            <w:bottom w:val="none" w:sz="0" w:space="0" w:color="auto"/>
            <w:right w:val="none" w:sz="0" w:space="0" w:color="auto"/>
          </w:divBdr>
          <w:divsChild>
            <w:div w:id="1336151291">
              <w:marLeft w:val="0"/>
              <w:marRight w:val="0"/>
              <w:marTop w:val="0"/>
              <w:marBottom w:val="0"/>
              <w:divBdr>
                <w:top w:val="none" w:sz="0" w:space="0" w:color="auto"/>
                <w:left w:val="none" w:sz="0" w:space="0" w:color="auto"/>
                <w:bottom w:val="none" w:sz="0" w:space="0" w:color="auto"/>
                <w:right w:val="none" w:sz="0" w:space="0" w:color="auto"/>
              </w:divBdr>
              <w:divsChild>
                <w:div w:id="2236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73209">
      <w:bodyDiv w:val="1"/>
      <w:marLeft w:val="0"/>
      <w:marRight w:val="0"/>
      <w:marTop w:val="0"/>
      <w:marBottom w:val="0"/>
      <w:divBdr>
        <w:top w:val="none" w:sz="0" w:space="0" w:color="auto"/>
        <w:left w:val="none" w:sz="0" w:space="0" w:color="auto"/>
        <w:bottom w:val="none" w:sz="0" w:space="0" w:color="auto"/>
        <w:right w:val="none" w:sz="0" w:space="0" w:color="auto"/>
      </w:divBdr>
    </w:div>
    <w:div w:id="1650553859">
      <w:bodyDiv w:val="1"/>
      <w:marLeft w:val="0"/>
      <w:marRight w:val="0"/>
      <w:marTop w:val="0"/>
      <w:marBottom w:val="0"/>
      <w:divBdr>
        <w:top w:val="none" w:sz="0" w:space="0" w:color="auto"/>
        <w:left w:val="none" w:sz="0" w:space="0" w:color="auto"/>
        <w:bottom w:val="none" w:sz="0" w:space="0" w:color="auto"/>
        <w:right w:val="none" w:sz="0" w:space="0" w:color="auto"/>
      </w:divBdr>
      <w:divsChild>
        <w:div w:id="504243302">
          <w:marLeft w:val="0"/>
          <w:marRight w:val="0"/>
          <w:marTop w:val="0"/>
          <w:marBottom w:val="0"/>
          <w:divBdr>
            <w:top w:val="none" w:sz="0" w:space="0" w:color="auto"/>
            <w:left w:val="none" w:sz="0" w:space="0" w:color="auto"/>
            <w:bottom w:val="none" w:sz="0" w:space="0" w:color="auto"/>
            <w:right w:val="none" w:sz="0" w:space="0" w:color="auto"/>
          </w:divBdr>
          <w:divsChild>
            <w:div w:id="1633362714">
              <w:marLeft w:val="0"/>
              <w:marRight w:val="0"/>
              <w:marTop w:val="0"/>
              <w:marBottom w:val="0"/>
              <w:divBdr>
                <w:top w:val="none" w:sz="0" w:space="0" w:color="auto"/>
                <w:left w:val="none" w:sz="0" w:space="0" w:color="auto"/>
                <w:bottom w:val="none" w:sz="0" w:space="0" w:color="auto"/>
                <w:right w:val="none" w:sz="0" w:space="0" w:color="auto"/>
              </w:divBdr>
              <w:divsChild>
                <w:div w:id="11716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07374">
      <w:bodyDiv w:val="1"/>
      <w:marLeft w:val="0"/>
      <w:marRight w:val="0"/>
      <w:marTop w:val="0"/>
      <w:marBottom w:val="0"/>
      <w:divBdr>
        <w:top w:val="none" w:sz="0" w:space="0" w:color="auto"/>
        <w:left w:val="none" w:sz="0" w:space="0" w:color="auto"/>
        <w:bottom w:val="none" w:sz="0" w:space="0" w:color="auto"/>
        <w:right w:val="none" w:sz="0" w:space="0" w:color="auto"/>
      </w:divBdr>
    </w:div>
    <w:div w:id="1658924248">
      <w:bodyDiv w:val="1"/>
      <w:marLeft w:val="0"/>
      <w:marRight w:val="0"/>
      <w:marTop w:val="0"/>
      <w:marBottom w:val="0"/>
      <w:divBdr>
        <w:top w:val="none" w:sz="0" w:space="0" w:color="auto"/>
        <w:left w:val="none" w:sz="0" w:space="0" w:color="auto"/>
        <w:bottom w:val="none" w:sz="0" w:space="0" w:color="auto"/>
        <w:right w:val="none" w:sz="0" w:space="0" w:color="auto"/>
      </w:divBdr>
    </w:div>
    <w:div w:id="1689140294">
      <w:bodyDiv w:val="1"/>
      <w:marLeft w:val="0"/>
      <w:marRight w:val="0"/>
      <w:marTop w:val="0"/>
      <w:marBottom w:val="0"/>
      <w:divBdr>
        <w:top w:val="none" w:sz="0" w:space="0" w:color="auto"/>
        <w:left w:val="none" w:sz="0" w:space="0" w:color="auto"/>
        <w:bottom w:val="none" w:sz="0" w:space="0" w:color="auto"/>
        <w:right w:val="none" w:sz="0" w:space="0" w:color="auto"/>
      </w:divBdr>
    </w:div>
    <w:div w:id="1697804382">
      <w:bodyDiv w:val="1"/>
      <w:marLeft w:val="0"/>
      <w:marRight w:val="0"/>
      <w:marTop w:val="0"/>
      <w:marBottom w:val="0"/>
      <w:divBdr>
        <w:top w:val="none" w:sz="0" w:space="0" w:color="auto"/>
        <w:left w:val="none" w:sz="0" w:space="0" w:color="auto"/>
        <w:bottom w:val="none" w:sz="0" w:space="0" w:color="auto"/>
        <w:right w:val="none" w:sz="0" w:space="0" w:color="auto"/>
      </w:divBdr>
    </w:div>
    <w:div w:id="1712412613">
      <w:bodyDiv w:val="1"/>
      <w:marLeft w:val="0"/>
      <w:marRight w:val="0"/>
      <w:marTop w:val="0"/>
      <w:marBottom w:val="0"/>
      <w:divBdr>
        <w:top w:val="none" w:sz="0" w:space="0" w:color="auto"/>
        <w:left w:val="none" w:sz="0" w:space="0" w:color="auto"/>
        <w:bottom w:val="none" w:sz="0" w:space="0" w:color="auto"/>
        <w:right w:val="none" w:sz="0" w:space="0" w:color="auto"/>
      </w:divBdr>
    </w:div>
    <w:div w:id="1713967085">
      <w:bodyDiv w:val="1"/>
      <w:marLeft w:val="0"/>
      <w:marRight w:val="0"/>
      <w:marTop w:val="0"/>
      <w:marBottom w:val="0"/>
      <w:divBdr>
        <w:top w:val="none" w:sz="0" w:space="0" w:color="auto"/>
        <w:left w:val="none" w:sz="0" w:space="0" w:color="auto"/>
        <w:bottom w:val="none" w:sz="0" w:space="0" w:color="auto"/>
        <w:right w:val="none" w:sz="0" w:space="0" w:color="auto"/>
      </w:divBdr>
    </w:div>
    <w:div w:id="1716155388">
      <w:bodyDiv w:val="1"/>
      <w:marLeft w:val="0"/>
      <w:marRight w:val="0"/>
      <w:marTop w:val="0"/>
      <w:marBottom w:val="0"/>
      <w:divBdr>
        <w:top w:val="none" w:sz="0" w:space="0" w:color="auto"/>
        <w:left w:val="none" w:sz="0" w:space="0" w:color="auto"/>
        <w:bottom w:val="none" w:sz="0" w:space="0" w:color="auto"/>
        <w:right w:val="none" w:sz="0" w:space="0" w:color="auto"/>
      </w:divBdr>
    </w:div>
    <w:div w:id="1727605061">
      <w:bodyDiv w:val="1"/>
      <w:marLeft w:val="0"/>
      <w:marRight w:val="0"/>
      <w:marTop w:val="0"/>
      <w:marBottom w:val="0"/>
      <w:divBdr>
        <w:top w:val="none" w:sz="0" w:space="0" w:color="auto"/>
        <w:left w:val="none" w:sz="0" w:space="0" w:color="auto"/>
        <w:bottom w:val="none" w:sz="0" w:space="0" w:color="auto"/>
        <w:right w:val="none" w:sz="0" w:space="0" w:color="auto"/>
      </w:divBdr>
    </w:div>
    <w:div w:id="1738363172">
      <w:bodyDiv w:val="1"/>
      <w:marLeft w:val="0"/>
      <w:marRight w:val="0"/>
      <w:marTop w:val="0"/>
      <w:marBottom w:val="0"/>
      <w:divBdr>
        <w:top w:val="none" w:sz="0" w:space="0" w:color="auto"/>
        <w:left w:val="none" w:sz="0" w:space="0" w:color="auto"/>
        <w:bottom w:val="none" w:sz="0" w:space="0" w:color="auto"/>
        <w:right w:val="none" w:sz="0" w:space="0" w:color="auto"/>
      </w:divBdr>
    </w:div>
    <w:div w:id="1754932910">
      <w:bodyDiv w:val="1"/>
      <w:marLeft w:val="0"/>
      <w:marRight w:val="0"/>
      <w:marTop w:val="0"/>
      <w:marBottom w:val="0"/>
      <w:divBdr>
        <w:top w:val="none" w:sz="0" w:space="0" w:color="auto"/>
        <w:left w:val="none" w:sz="0" w:space="0" w:color="auto"/>
        <w:bottom w:val="none" w:sz="0" w:space="0" w:color="auto"/>
        <w:right w:val="none" w:sz="0" w:space="0" w:color="auto"/>
      </w:divBdr>
    </w:div>
    <w:div w:id="1757704819">
      <w:bodyDiv w:val="1"/>
      <w:marLeft w:val="0"/>
      <w:marRight w:val="0"/>
      <w:marTop w:val="0"/>
      <w:marBottom w:val="0"/>
      <w:divBdr>
        <w:top w:val="none" w:sz="0" w:space="0" w:color="auto"/>
        <w:left w:val="none" w:sz="0" w:space="0" w:color="auto"/>
        <w:bottom w:val="none" w:sz="0" w:space="0" w:color="auto"/>
        <w:right w:val="none" w:sz="0" w:space="0" w:color="auto"/>
      </w:divBdr>
    </w:div>
    <w:div w:id="1758938803">
      <w:bodyDiv w:val="1"/>
      <w:marLeft w:val="0"/>
      <w:marRight w:val="0"/>
      <w:marTop w:val="0"/>
      <w:marBottom w:val="0"/>
      <w:divBdr>
        <w:top w:val="none" w:sz="0" w:space="0" w:color="auto"/>
        <w:left w:val="none" w:sz="0" w:space="0" w:color="auto"/>
        <w:bottom w:val="none" w:sz="0" w:space="0" w:color="auto"/>
        <w:right w:val="none" w:sz="0" w:space="0" w:color="auto"/>
      </w:divBdr>
      <w:divsChild>
        <w:div w:id="1319726978">
          <w:marLeft w:val="0"/>
          <w:marRight w:val="0"/>
          <w:marTop w:val="0"/>
          <w:marBottom w:val="0"/>
          <w:divBdr>
            <w:top w:val="none" w:sz="0" w:space="0" w:color="auto"/>
            <w:left w:val="none" w:sz="0" w:space="0" w:color="auto"/>
            <w:bottom w:val="none" w:sz="0" w:space="0" w:color="auto"/>
            <w:right w:val="none" w:sz="0" w:space="0" w:color="auto"/>
          </w:divBdr>
          <w:divsChild>
            <w:div w:id="1951088960">
              <w:marLeft w:val="0"/>
              <w:marRight w:val="0"/>
              <w:marTop w:val="0"/>
              <w:marBottom w:val="0"/>
              <w:divBdr>
                <w:top w:val="none" w:sz="0" w:space="0" w:color="auto"/>
                <w:left w:val="none" w:sz="0" w:space="0" w:color="auto"/>
                <w:bottom w:val="none" w:sz="0" w:space="0" w:color="auto"/>
                <w:right w:val="none" w:sz="0" w:space="0" w:color="auto"/>
              </w:divBdr>
              <w:divsChild>
                <w:div w:id="9407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3230">
      <w:bodyDiv w:val="1"/>
      <w:marLeft w:val="0"/>
      <w:marRight w:val="0"/>
      <w:marTop w:val="0"/>
      <w:marBottom w:val="0"/>
      <w:divBdr>
        <w:top w:val="none" w:sz="0" w:space="0" w:color="auto"/>
        <w:left w:val="none" w:sz="0" w:space="0" w:color="auto"/>
        <w:bottom w:val="none" w:sz="0" w:space="0" w:color="auto"/>
        <w:right w:val="none" w:sz="0" w:space="0" w:color="auto"/>
      </w:divBdr>
    </w:div>
    <w:div w:id="1791967873">
      <w:bodyDiv w:val="1"/>
      <w:marLeft w:val="0"/>
      <w:marRight w:val="0"/>
      <w:marTop w:val="0"/>
      <w:marBottom w:val="0"/>
      <w:divBdr>
        <w:top w:val="none" w:sz="0" w:space="0" w:color="auto"/>
        <w:left w:val="none" w:sz="0" w:space="0" w:color="auto"/>
        <w:bottom w:val="none" w:sz="0" w:space="0" w:color="auto"/>
        <w:right w:val="none" w:sz="0" w:space="0" w:color="auto"/>
      </w:divBdr>
    </w:div>
    <w:div w:id="1807896388">
      <w:bodyDiv w:val="1"/>
      <w:marLeft w:val="0"/>
      <w:marRight w:val="0"/>
      <w:marTop w:val="0"/>
      <w:marBottom w:val="0"/>
      <w:divBdr>
        <w:top w:val="none" w:sz="0" w:space="0" w:color="auto"/>
        <w:left w:val="none" w:sz="0" w:space="0" w:color="auto"/>
        <w:bottom w:val="none" w:sz="0" w:space="0" w:color="auto"/>
        <w:right w:val="none" w:sz="0" w:space="0" w:color="auto"/>
      </w:divBdr>
      <w:divsChild>
        <w:div w:id="620042027">
          <w:marLeft w:val="0"/>
          <w:marRight w:val="0"/>
          <w:marTop w:val="0"/>
          <w:marBottom w:val="0"/>
          <w:divBdr>
            <w:top w:val="none" w:sz="0" w:space="0" w:color="auto"/>
            <w:left w:val="none" w:sz="0" w:space="0" w:color="auto"/>
            <w:bottom w:val="none" w:sz="0" w:space="0" w:color="auto"/>
            <w:right w:val="none" w:sz="0" w:space="0" w:color="auto"/>
          </w:divBdr>
          <w:divsChild>
            <w:div w:id="315574935">
              <w:marLeft w:val="0"/>
              <w:marRight w:val="0"/>
              <w:marTop w:val="0"/>
              <w:marBottom w:val="0"/>
              <w:divBdr>
                <w:top w:val="none" w:sz="0" w:space="0" w:color="auto"/>
                <w:left w:val="none" w:sz="0" w:space="0" w:color="auto"/>
                <w:bottom w:val="none" w:sz="0" w:space="0" w:color="auto"/>
                <w:right w:val="none" w:sz="0" w:space="0" w:color="auto"/>
              </w:divBdr>
              <w:divsChild>
                <w:div w:id="4148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5071">
      <w:bodyDiv w:val="1"/>
      <w:marLeft w:val="0"/>
      <w:marRight w:val="0"/>
      <w:marTop w:val="0"/>
      <w:marBottom w:val="0"/>
      <w:divBdr>
        <w:top w:val="none" w:sz="0" w:space="0" w:color="auto"/>
        <w:left w:val="none" w:sz="0" w:space="0" w:color="auto"/>
        <w:bottom w:val="none" w:sz="0" w:space="0" w:color="auto"/>
        <w:right w:val="none" w:sz="0" w:space="0" w:color="auto"/>
      </w:divBdr>
      <w:divsChild>
        <w:div w:id="487480349">
          <w:marLeft w:val="2400"/>
          <w:marRight w:val="0"/>
          <w:marTop w:val="0"/>
          <w:marBottom w:val="0"/>
          <w:divBdr>
            <w:top w:val="single" w:sz="6" w:space="12" w:color="A7D7F9"/>
            <w:left w:val="single" w:sz="6" w:space="12" w:color="A7D7F9"/>
            <w:bottom w:val="single" w:sz="6" w:space="12" w:color="A7D7F9"/>
            <w:right w:val="single" w:sz="2" w:space="12" w:color="A7D7F9"/>
          </w:divBdr>
          <w:divsChild>
            <w:div w:id="325284552">
              <w:marLeft w:val="0"/>
              <w:marRight w:val="0"/>
              <w:marTop w:val="0"/>
              <w:marBottom w:val="0"/>
              <w:divBdr>
                <w:top w:val="none" w:sz="0" w:space="0" w:color="auto"/>
                <w:left w:val="none" w:sz="0" w:space="0" w:color="auto"/>
                <w:bottom w:val="none" w:sz="0" w:space="0" w:color="auto"/>
                <w:right w:val="none" w:sz="0" w:space="0" w:color="auto"/>
              </w:divBdr>
              <w:divsChild>
                <w:div w:id="31735936">
                  <w:marLeft w:val="0"/>
                  <w:marRight w:val="0"/>
                  <w:marTop w:val="0"/>
                  <w:marBottom w:val="0"/>
                  <w:divBdr>
                    <w:top w:val="none" w:sz="0" w:space="0" w:color="auto"/>
                    <w:left w:val="none" w:sz="0" w:space="0" w:color="auto"/>
                    <w:bottom w:val="none" w:sz="0" w:space="0" w:color="auto"/>
                    <w:right w:val="none" w:sz="0" w:space="0" w:color="auto"/>
                  </w:divBdr>
                  <w:divsChild>
                    <w:div w:id="2920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92028">
      <w:bodyDiv w:val="1"/>
      <w:marLeft w:val="0"/>
      <w:marRight w:val="0"/>
      <w:marTop w:val="0"/>
      <w:marBottom w:val="0"/>
      <w:divBdr>
        <w:top w:val="none" w:sz="0" w:space="0" w:color="auto"/>
        <w:left w:val="none" w:sz="0" w:space="0" w:color="auto"/>
        <w:bottom w:val="none" w:sz="0" w:space="0" w:color="auto"/>
        <w:right w:val="none" w:sz="0" w:space="0" w:color="auto"/>
      </w:divBdr>
      <w:divsChild>
        <w:div w:id="862716491">
          <w:marLeft w:val="0"/>
          <w:marRight w:val="0"/>
          <w:marTop w:val="0"/>
          <w:marBottom w:val="0"/>
          <w:divBdr>
            <w:top w:val="none" w:sz="0" w:space="0" w:color="auto"/>
            <w:left w:val="none" w:sz="0" w:space="0" w:color="auto"/>
            <w:bottom w:val="none" w:sz="0" w:space="0" w:color="auto"/>
            <w:right w:val="none" w:sz="0" w:space="0" w:color="auto"/>
          </w:divBdr>
          <w:divsChild>
            <w:div w:id="1554658943">
              <w:marLeft w:val="0"/>
              <w:marRight w:val="0"/>
              <w:marTop w:val="0"/>
              <w:marBottom w:val="0"/>
              <w:divBdr>
                <w:top w:val="none" w:sz="0" w:space="0" w:color="auto"/>
                <w:left w:val="none" w:sz="0" w:space="0" w:color="auto"/>
                <w:bottom w:val="none" w:sz="0" w:space="0" w:color="auto"/>
                <w:right w:val="none" w:sz="0" w:space="0" w:color="auto"/>
              </w:divBdr>
              <w:divsChild>
                <w:div w:id="18196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90300">
      <w:bodyDiv w:val="1"/>
      <w:marLeft w:val="0"/>
      <w:marRight w:val="0"/>
      <w:marTop w:val="0"/>
      <w:marBottom w:val="0"/>
      <w:divBdr>
        <w:top w:val="none" w:sz="0" w:space="0" w:color="auto"/>
        <w:left w:val="none" w:sz="0" w:space="0" w:color="auto"/>
        <w:bottom w:val="none" w:sz="0" w:space="0" w:color="auto"/>
        <w:right w:val="none" w:sz="0" w:space="0" w:color="auto"/>
      </w:divBdr>
      <w:divsChild>
        <w:div w:id="518860492">
          <w:marLeft w:val="0"/>
          <w:marRight w:val="0"/>
          <w:marTop w:val="0"/>
          <w:marBottom w:val="0"/>
          <w:divBdr>
            <w:top w:val="none" w:sz="0" w:space="0" w:color="auto"/>
            <w:left w:val="none" w:sz="0" w:space="0" w:color="auto"/>
            <w:bottom w:val="none" w:sz="0" w:space="0" w:color="auto"/>
            <w:right w:val="none" w:sz="0" w:space="0" w:color="auto"/>
          </w:divBdr>
          <w:divsChild>
            <w:div w:id="147209982">
              <w:marLeft w:val="0"/>
              <w:marRight w:val="0"/>
              <w:marTop w:val="0"/>
              <w:marBottom w:val="0"/>
              <w:divBdr>
                <w:top w:val="none" w:sz="0" w:space="0" w:color="auto"/>
                <w:left w:val="none" w:sz="0" w:space="0" w:color="auto"/>
                <w:bottom w:val="none" w:sz="0" w:space="0" w:color="auto"/>
                <w:right w:val="none" w:sz="0" w:space="0" w:color="auto"/>
              </w:divBdr>
              <w:divsChild>
                <w:div w:id="8234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15861">
      <w:bodyDiv w:val="1"/>
      <w:marLeft w:val="0"/>
      <w:marRight w:val="0"/>
      <w:marTop w:val="0"/>
      <w:marBottom w:val="0"/>
      <w:divBdr>
        <w:top w:val="none" w:sz="0" w:space="0" w:color="auto"/>
        <w:left w:val="none" w:sz="0" w:space="0" w:color="auto"/>
        <w:bottom w:val="none" w:sz="0" w:space="0" w:color="auto"/>
        <w:right w:val="none" w:sz="0" w:space="0" w:color="auto"/>
      </w:divBdr>
    </w:div>
    <w:div w:id="1882399817">
      <w:bodyDiv w:val="1"/>
      <w:marLeft w:val="0"/>
      <w:marRight w:val="0"/>
      <w:marTop w:val="0"/>
      <w:marBottom w:val="0"/>
      <w:divBdr>
        <w:top w:val="none" w:sz="0" w:space="0" w:color="auto"/>
        <w:left w:val="none" w:sz="0" w:space="0" w:color="auto"/>
        <w:bottom w:val="none" w:sz="0" w:space="0" w:color="auto"/>
        <w:right w:val="none" w:sz="0" w:space="0" w:color="auto"/>
      </w:divBdr>
      <w:divsChild>
        <w:div w:id="1594625341">
          <w:marLeft w:val="0"/>
          <w:marRight w:val="0"/>
          <w:marTop w:val="0"/>
          <w:marBottom w:val="0"/>
          <w:divBdr>
            <w:top w:val="none" w:sz="0" w:space="0" w:color="auto"/>
            <w:left w:val="none" w:sz="0" w:space="0" w:color="auto"/>
            <w:bottom w:val="none" w:sz="0" w:space="0" w:color="auto"/>
            <w:right w:val="none" w:sz="0" w:space="0" w:color="auto"/>
          </w:divBdr>
          <w:divsChild>
            <w:div w:id="847063649">
              <w:marLeft w:val="0"/>
              <w:marRight w:val="0"/>
              <w:marTop w:val="0"/>
              <w:marBottom w:val="0"/>
              <w:divBdr>
                <w:top w:val="none" w:sz="0" w:space="0" w:color="auto"/>
                <w:left w:val="none" w:sz="0" w:space="0" w:color="auto"/>
                <w:bottom w:val="none" w:sz="0" w:space="0" w:color="auto"/>
                <w:right w:val="none" w:sz="0" w:space="0" w:color="auto"/>
              </w:divBdr>
              <w:divsChild>
                <w:div w:id="2676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7102">
      <w:bodyDiv w:val="1"/>
      <w:marLeft w:val="0"/>
      <w:marRight w:val="0"/>
      <w:marTop w:val="0"/>
      <w:marBottom w:val="0"/>
      <w:divBdr>
        <w:top w:val="none" w:sz="0" w:space="0" w:color="auto"/>
        <w:left w:val="none" w:sz="0" w:space="0" w:color="auto"/>
        <w:bottom w:val="none" w:sz="0" w:space="0" w:color="auto"/>
        <w:right w:val="none" w:sz="0" w:space="0" w:color="auto"/>
      </w:divBdr>
    </w:div>
    <w:div w:id="1901669674">
      <w:bodyDiv w:val="1"/>
      <w:marLeft w:val="0"/>
      <w:marRight w:val="0"/>
      <w:marTop w:val="0"/>
      <w:marBottom w:val="0"/>
      <w:divBdr>
        <w:top w:val="none" w:sz="0" w:space="0" w:color="auto"/>
        <w:left w:val="none" w:sz="0" w:space="0" w:color="auto"/>
        <w:bottom w:val="none" w:sz="0" w:space="0" w:color="auto"/>
        <w:right w:val="none" w:sz="0" w:space="0" w:color="auto"/>
      </w:divBdr>
    </w:div>
    <w:div w:id="1925649209">
      <w:bodyDiv w:val="1"/>
      <w:marLeft w:val="0"/>
      <w:marRight w:val="0"/>
      <w:marTop w:val="0"/>
      <w:marBottom w:val="0"/>
      <w:divBdr>
        <w:top w:val="none" w:sz="0" w:space="0" w:color="auto"/>
        <w:left w:val="none" w:sz="0" w:space="0" w:color="auto"/>
        <w:bottom w:val="none" w:sz="0" w:space="0" w:color="auto"/>
        <w:right w:val="none" w:sz="0" w:space="0" w:color="auto"/>
      </w:divBdr>
      <w:divsChild>
        <w:div w:id="1501888528">
          <w:marLeft w:val="0"/>
          <w:marRight w:val="0"/>
          <w:marTop w:val="0"/>
          <w:marBottom w:val="0"/>
          <w:divBdr>
            <w:top w:val="none" w:sz="0" w:space="0" w:color="auto"/>
            <w:left w:val="none" w:sz="0" w:space="0" w:color="auto"/>
            <w:bottom w:val="none" w:sz="0" w:space="0" w:color="auto"/>
            <w:right w:val="none" w:sz="0" w:space="0" w:color="auto"/>
          </w:divBdr>
          <w:divsChild>
            <w:div w:id="366637246">
              <w:marLeft w:val="0"/>
              <w:marRight w:val="0"/>
              <w:marTop w:val="0"/>
              <w:marBottom w:val="0"/>
              <w:divBdr>
                <w:top w:val="none" w:sz="0" w:space="0" w:color="auto"/>
                <w:left w:val="none" w:sz="0" w:space="0" w:color="auto"/>
                <w:bottom w:val="none" w:sz="0" w:space="0" w:color="auto"/>
                <w:right w:val="none" w:sz="0" w:space="0" w:color="auto"/>
              </w:divBdr>
              <w:divsChild>
                <w:div w:id="18725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2889">
      <w:bodyDiv w:val="1"/>
      <w:marLeft w:val="0"/>
      <w:marRight w:val="0"/>
      <w:marTop w:val="0"/>
      <w:marBottom w:val="0"/>
      <w:divBdr>
        <w:top w:val="none" w:sz="0" w:space="0" w:color="auto"/>
        <w:left w:val="none" w:sz="0" w:space="0" w:color="auto"/>
        <w:bottom w:val="none" w:sz="0" w:space="0" w:color="auto"/>
        <w:right w:val="none" w:sz="0" w:space="0" w:color="auto"/>
      </w:divBdr>
      <w:divsChild>
        <w:div w:id="1007295886">
          <w:marLeft w:val="0"/>
          <w:marRight w:val="0"/>
          <w:marTop w:val="0"/>
          <w:marBottom w:val="0"/>
          <w:divBdr>
            <w:top w:val="none" w:sz="0" w:space="0" w:color="auto"/>
            <w:left w:val="none" w:sz="0" w:space="0" w:color="auto"/>
            <w:bottom w:val="none" w:sz="0" w:space="0" w:color="auto"/>
            <w:right w:val="none" w:sz="0" w:space="0" w:color="auto"/>
          </w:divBdr>
          <w:divsChild>
            <w:div w:id="172844047">
              <w:marLeft w:val="0"/>
              <w:marRight w:val="0"/>
              <w:marTop w:val="0"/>
              <w:marBottom w:val="0"/>
              <w:divBdr>
                <w:top w:val="none" w:sz="0" w:space="0" w:color="auto"/>
                <w:left w:val="none" w:sz="0" w:space="0" w:color="auto"/>
                <w:bottom w:val="none" w:sz="0" w:space="0" w:color="auto"/>
                <w:right w:val="none" w:sz="0" w:space="0" w:color="auto"/>
              </w:divBdr>
              <w:divsChild>
                <w:div w:id="14703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1819">
      <w:bodyDiv w:val="1"/>
      <w:marLeft w:val="0"/>
      <w:marRight w:val="0"/>
      <w:marTop w:val="0"/>
      <w:marBottom w:val="0"/>
      <w:divBdr>
        <w:top w:val="none" w:sz="0" w:space="0" w:color="auto"/>
        <w:left w:val="none" w:sz="0" w:space="0" w:color="auto"/>
        <w:bottom w:val="none" w:sz="0" w:space="0" w:color="auto"/>
        <w:right w:val="none" w:sz="0" w:space="0" w:color="auto"/>
      </w:divBdr>
    </w:div>
    <w:div w:id="1982731401">
      <w:bodyDiv w:val="1"/>
      <w:marLeft w:val="0"/>
      <w:marRight w:val="0"/>
      <w:marTop w:val="0"/>
      <w:marBottom w:val="0"/>
      <w:divBdr>
        <w:top w:val="none" w:sz="0" w:space="0" w:color="auto"/>
        <w:left w:val="none" w:sz="0" w:space="0" w:color="auto"/>
        <w:bottom w:val="none" w:sz="0" w:space="0" w:color="auto"/>
        <w:right w:val="none" w:sz="0" w:space="0" w:color="auto"/>
      </w:divBdr>
    </w:div>
    <w:div w:id="2030060130">
      <w:bodyDiv w:val="1"/>
      <w:marLeft w:val="0"/>
      <w:marRight w:val="0"/>
      <w:marTop w:val="0"/>
      <w:marBottom w:val="0"/>
      <w:divBdr>
        <w:top w:val="none" w:sz="0" w:space="0" w:color="auto"/>
        <w:left w:val="none" w:sz="0" w:space="0" w:color="auto"/>
        <w:bottom w:val="none" w:sz="0" w:space="0" w:color="auto"/>
        <w:right w:val="none" w:sz="0" w:space="0" w:color="auto"/>
      </w:divBdr>
      <w:divsChild>
        <w:div w:id="1904869963">
          <w:marLeft w:val="0"/>
          <w:marRight w:val="0"/>
          <w:marTop w:val="0"/>
          <w:marBottom w:val="0"/>
          <w:divBdr>
            <w:top w:val="none" w:sz="0" w:space="0" w:color="auto"/>
            <w:left w:val="none" w:sz="0" w:space="0" w:color="auto"/>
            <w:bottom w:val="none" w:sz="0" w:space="0" w:color="auto"/>
            <w:right w:val="none" w:sz="0" w:space="0" w:color="auto"/>
          </w:divBdr>
          <w:divsChild>
            <w:div w:id="367993604">
              <w:marLeft w:val="0"/>
              <w:marRight w:val="0"/>
              <w:marTop w:val="0"/>
              <w:marBottom w:val="0"/>
              <w:divBdr>
                <w:top w:val="none" w:sz="0" w:space="0" w:color="auto"/>
                <w:left w:val="none" w:sz="0" w:space="0" w:color="auto"/>
                <w:bottom w:val="none" w:sz="0" w:space="0" w:color="auto"/>
                <w:right w:val="none" w:sz="0" w:space="0" w:color="auto"/>
              </w:divBdr>
              <w:divsChild>
                <w:div w:id="3480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03187">
      <w:bodyDiv w:val="1"/>
      <w:marLeft w:val="0"/>
      <w:marRight w:val="0"/>
      <w:marTop w:val="0"/>
      <w:marBottom w:val="0"/>
      <w:divBdr>
        <w:top w:val="none" w:sz="0" w:space="0" w:color="auto"/>
        <w:left w:val="none" w:sz="0" w:space="0" w:color="auto"/>
        <w:bottom w:val="none" w:sz="0" w:space="0" w:color="auto"/>
        <w:right w:val="none" w:sz="0" w:space="0" w:color="auto"/>
      </w:divBdr>
    </w:div>
    <w:div w:id="2069449003">
      <w:bodyDiv w:val="1"/>
      <w:marLeft w:val="0"/>
      <w:marRight w:val="0"/>
      <w:marTop w:val="0"/>
      <w:marBottom w:val="0"/>
      <w:divBdr>
        <w:top w:val="none" w:sz="0" w:space="0" w:color="auto"/>
        <w:left w:val="none" w:sz="0" w:space="0" w:color="auto"/>
        <w:bottom w:val="none" w:sz="0" w:space="0" w:color="auto"/>
        <w:right w:val="none" w:sz="0" w:space="0" w:color="auto"/>
      </w:divBdr>
    </w:div>
    <w:div w:id="2072069494">
      <w:bodyDiv w:val="1"/>
      <w:marLeft w:val="0"/>
      <w:marRight w:val="0"/>
      <w:marTop w:val="0"/>
      <w:marBottom w:val="0"/>
      <w:divBdr>
        <w:top w:val="none" w:sz="0" w:space="0" w:color="auto"/>
        <w:left w:val="none" w:sz="0" w:space="0" w:color="auto"/>
        <w:bottom w:val="none" w:sz="0" w:space="0" w:color="auto"/>
        <w:right w:val="none" w:sz="0" w:space="0" w:color="auto"/>
      </w:divBdr>
    </w:div>
    <w:div w:id="2072724894">
      <w:bodyDiv w:val="1"/>
      <w:marLeft w:val="0"/>
      <w:marRight w:val="0"/>
      <w:marTop w:val="0"/>
      <w:marBottom w:val="0"/>
      <w:divBdr>
        <w:top w:val="none" w:sz="0" w:space="0" w:color="auto"/>
        <w:left w:val="none" w:sz="0" w:space="0" w:color="auto"/>
        <w:bottom w:val="none" w:sz="0" w:space="0" w:color="auto"/>
        <w:right w:val="none" w:sz="0" w:space="0" w:color="auto"/>
      </w:divBdr>
    </w:div>
    <w:div w:id="2084642846">
      <w:bodyDiv w:val="1"/>
      <w:marLeft w:val="0"/>
      <w:marRight w:val="0"/>
      <w:marTop w:val="0"/>
      <w:marBottom w:val="0"/>
      <w:divBdr>
        <w:top w:val="none" w:sz="0" w:space="0" w:color="auto"/>
        <w:left w:val="none" w:sz="0" w:space="0" w:color="auto"/>
        <w:bottom w:val="none" w:sz="0" w:space="0" w:color="auto"/>
        <w:right w:val="none" w:sz="0" w:space="0" w:color="auto"/>
      </w:divBdr>
    </w:div>
    <w:div w:id="2086301255">
      <w:bodyDiv w:val="1"/>
      <w:marLeft w:val="0"/>
      <w:marRight w:val="0"/>
      <w:marTop w:val="0"/>
      <w:marBottom w:val="0"/>
      <w:divBdr>
        <w:top w:val="none" w:sz="0" w:space="0" w:color="auto"/>
        <w:left w:val="none" w:sz="0" w:space="0" w:color="auto"/>
        <w:bottom w:val="none" w:sz="0" w:space="0" w:color="auto"/>
        <w:right w:val="none" w:sz="0" w:space="0" w:color="auto"/>
      </w:divBdr>
    </w:div>
    <w:div w:id="2093507493">
      <w:bodyDiv w:val="1"/>
      <w:marLeft w:val="0"/>
      <w:marRight w:val="0"/>
      <w:marTop w:val="0"/>
      <w:marBottom w:val="0"/>
      <w:divBdr>
        <w:top w:val="none" w:sz="0" w:space="0" w:color="auto"/>
        <w:left w:val="none" w:sz="0" w:space="0" w:color="auto"/>
        <w:bottom w:val="none" w:sz="0" w:space="0" w:color="auto"/>
        <w:right w:val="none" w:sz="0" w:space="0" w:color="auto"/>
      </w:divBdr>
    </w:div>
    <w:div w:id="2094466551">
      <w:bodyDiv w:val="1"/>
      <w:marLeft w:val="0"/>
      <w:marRight w:val="0"/>
      <w:marTop w:val="0"/>
      <w:marBottom w:val="0"/>
      <w:divBdr>
        <w:top w:val="none" w:sz="0" w:space="0" w:color="auto"/>
        <w:left w:val="none" w:sz="0" w:space="0" w:color="auto"/>
        <w:bottom w:val="none" w:sz="0" w:space="0" w:color="auto"/>
        <w:right w:val="none" w:sz="0" w:space="0" w:color="auto"/>
      </w:divBdr>
    </w:div>
    <w:div w:id="2095131219">
      <w:bodyDiv w:val="1"/>
      <w:marLeft w:val="0"/>
      <w:marRight w:val="0"/>
      <w:marTop w:val="0"/>
      <w:marBottom w:val="0"/>
      <w:divBdr>
        <w:top w:val="none" w:sz="0" w:space="0" w:color="auto"/>
        <w:left w:val="none" w:sz="0" w:space="0" w:color="auto"/>
        <w:bottom w:val="none" w:sz="0" w:space="0" w:color="auto"/>
        <w:right w:val="none" w:sz="0" w:space="0" w:color="auto"/>
      </w:divBdr>
    </w:div>
    <w:div w:id="2136021600">
      <w:bodyDiv w:val="1"/>
      <w:marLeft w:val="0"/>
      <w:marRight w:val="0"/>
      <w:marTop w:val="0"/>
      <w:marBottom w:val="0"/>
      <w:divBdr>
        <w:top w:val="none" w:sz="0" w:space="0" w:color="auto"/>
        <w:left w:val="none" w:sz="0" w:space="0" w:color="auto"/>
        <w:bottom w:val="none" w:sz="0" w:space="0" w:color="auto"/>
        <w:right w:val="none" w:sz="0" w:space="0" w:color="auto"/>
      </w:divBdr>
      <w:divsChild>
        <w:div w:id="160198517">
          <w:marLeft w:val="0"/>
          <w:marRight w:val="0"/>
          <w:marTop w:val="0"/>
          <w:marBottom w:val="0"/>
          <w:divBdr>
            <w:top w:val="none" w:sz="0" w:space="0" w:color="auto"/>
            <w:left w:val="none" w:sz="0" w:space="0" w:color="auto"/>
            <w:bottom w:val="none" w:sz="0" w:space="0" w:color="auto"/>
            <w:right w:val="none" w:sz="0" w:space="0" w:color="auto"/>
          </w:divBdr>
          <w:divsChild>
            <w:div w:id="127893083">
              <w:marLeft w:val="0"/>
              <w:marRight w:val="0"/>
              <w:marTop w:val="0"/>
              <w:marBottom w:val="0"/>
              <w:divBdr>
                <w:top w:val="none" w:sz="0" w:space="0" w:color="auto"/>
                <w:left w:val="none" w:sz="0" w:space="0" w:color="auto"/>
                <w:bottom w:val="none" w:sz="0" w:space="0" w:color="auto"/>
                <w:right w:val="none" w:sz="0" w:space="0" w:color="auto"/>
              </w:divBdr>
              <w:divsChild>
                <w:div w:id="14269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fugeesmigrants.un.org/definitions" TargetMode="External"/><Relationship Id="rId13" Type="http://schemas.openxmlformats.org/officeDocument/2006/relationships/hyperlink" Target="https://migrationdataportal.org/es/data?i=stock_abs_&amp;t=2019" TargetMode="External"/><Relationship Id="rId18" Type="http://schemas.openxmlformats.org/officeDocument/2006/relationships/hyperlink" Target="https://www.un.org/sustainabledevelopment/es/development-agenda/" TargetMode="External"/><Relationship Id="rId3" Type="http://schemas.openxmlformats.org/officeDocument/2006/relationships/hyperlink" Target="https://web.oas.org/mla/en/G_Countries_MLA/Nica_ajm_leg_esp_2.pdf" TargetMode="External"/><Relationship Id="rId7" Type="http://schemas.openxmlformats.org/officeDocument/2006/relationships/hyperlink" Target="https://publications.iom.int/system/files/pdf/iml_34_glossary.pdf" TargetMode="External"/><Relationship Id="rId12" Type="http://schemas.openxmlformats.org/officeDocument/2006/relationships/hyperlink" Target="http://www.corteidh.or.cr/docs/comunicados/cp_27_2020.pdf" TargetMode="External"/><Relationship Id="rId17" Type="http://schemas.openxmlformats.org/officeDocument/2006/relationships/hyperlink" Target="https://www.bancomundial.org/es/publication/global-economic-prospects" TargetMode="External"/><Relationship Id="rId2" Type="http://schemas.openxmlformats.org/officeDocument/2006/relationships/hyperlink" Target="http://www.corteidh.or.cr/docs/asuntos/roche_azana_6_12_19.pdf" TargetMode="External"/><Relationship Id="rId16" Type="http://schemas.openxmlformats.org/officeDocument/2006/relationships/hyperlink" Target="https://publications.iom.int/es/system/files/pdf/mrs42.pdf" TargetMode="External"/><Relationship Id="rId1" Type="http://schemas.openxmlformats.org/officeDocument/2006/relationships/hyperlink" Target="http://www.corteidh.or.cr/docs/asuntos/roche_azana_6_12_19.pdf" TargetMode="External"/><Relationship Id="rId6" Type="http://schemas.openxmlformats.org/officeDocument/2006/relationships/hyperlink" Target="https://www.iom.int/es/quien-es-un-migrante" TargetMode="External"/><Relationship Id="rId11" Type="http://schemas.openxmlformats.org/officeDocument/2006/relationships/hyperlink" Target="https://publications.iom.int/system/files/pdf/iml_7_sp.pdf" TargetMode="External"/><Relationship Id="rId5" Type="http://schemas.openxmlformats.org/officeDocument/2006/relationships/hyperlink" Target="https://www.ohchr.org/SP/ProfessionalInterest/Pages/LawEnforcementOfficials.aspx" TargetMode="External"/><Relationship Id="rId15" Type="http://schemas.openxmlformats.org/officeDocument/2006/relationships/hyperlink" Target="https://repositorio.cepal.org/bitstream/handle/11362/44969/5/S1901133_es.pdf" TargetMode="External"/><Relationship Id="rId10" Type="http://schemas.openxmlformats.org/officeDocument/2006/relationships/hyperlink" Target="https://www.ohchr.org/Documents/Issues/Migration/OHCHR_Recommended_Principles_Guidelines_SP.pdf" TargetMode="External"/><Relationship Id="rId4" Type="http://schemas.openxmlformats.org/officeDocument/2006/relationships/hyperlink" Target="http://legislacion.asamblea.gob.ni/normaweb.nsf/($All)/5622C7C6B447C28A062570A10057D770?OpenDocument" TargetMode="External"/><Relationship Id="rId9" Type="http://schemas.openxmlformats.org/officeDocument/2006/relationships/hyperlink" Target="https://unstats.un.org/unsd/demographic-social/Standards-and-Methods/files/Principles_and_Recommendations/International-Migration/SeriesM_58rev1-S.pdf" TargetMode="External"/><Relationship Id="rId14" Type="http://schemas.openxmlformats.org/officeDocument/2006/relationships/hyperlink" Target="https://repositorio.cepal.org/bitstream/handle/11362/44969/5/S1901133_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CFD27-7412-4B36-975F-A60AB613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22473</Words>
  <Characters>123605</Characters>
  <Application>Microsoft Office Word</Application>
  <DocSecurity>0</DocSecurity>
  <Lines>1030</Lines>
  <Paragraphs>291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145787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Usuario</cp:lastModifiedBy>
  <cp:revision>2</cp:revision>
  <cp:lastPrinted>2020-05-10T11:36:00Z</cp:lastPrinted>
  <dcterms:created xsi:type="dcterms:W3CDTF">2020-11-06T21:35:00Z</dcterms:created>
  <dcterms:modified xsi:type="dcterms:W3CDTF">2020-11-06T21:35:00Z</dcterms:modified>
</cp:coreProperties>
</file>